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customXml/itemProps2.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28D8" w14:textId="77777777" w:rsidR="00867D85" w:rsidRPr="004D511E" w:rsidRDefault="00867D85" w:rsidP="004D511E">
      <w:pPr>
        <w:spacing w:line="240" w:lineRule="auto"/>
        <w:jc w:val="center"/>
        <w:rPr>
          <w:b/>
          <w:sz w:val="23"/>
          <w:szCs w:val="23"/>
          <w:lang w:val="es-CR"/>
        </w:rPr>
      </w:pPr>
      <w:r w:rsidRPr="004D511E">
        <w:rPr>
          <w:b/>
          <w:sz w:val="23"/>
          <w:szCs w:val="23"/>
          <w:lang w:val="es-CR"/>
        </w:rPr>
        <w:t>CIRCULAR EXTERNA</w:t>
      </w:r>
    </w:p>
    <w:p w14:paraId="2938E10E" w14:textId="7F4CA588" w:rsidR="00867D85" w:rsidRPr="004D511E" w:rsidRDefault="007B32AA" w:rsidP="004D511E">
      <w:pPr>
        <w:pStyle w:val="Texto"/>
        <w:spacing w:before="0" w:after="0" w:line="240" w:lineRule="auto"/>
        <w:jc w:val="center"/>
        <w:rPr>
          <w:szCs w:val="22"/>
          <w:lang w:val="es-CR"/>
        </w:rPr>
      </w:pPr>
      <w:r>
        <w:rPr>
          <w:szCs w:val="22"/>
          <w:lang w:val="es-CR"/>
        </w:rPr>
        <w:t>02</w:t>
      </w:r>
      <w:r w:rsidR="00867D85" w:rsidRPr="004D511E">
        <w:rPr>
          <w:szCs w:val="22"/>
          <w:lang w:val="es-CR"/>
        </w:rPr>
        <w:t xml:space="preserve"> de </w:t>
      </w:r>
      <w:r>
        <w:rPr>
          <w:szCs w:val="22"/>
          <w:lang w:val="es-CR"/>
        </w:rPr>
        <w:t>junio</w:t>
      </w:r>
      <w:r w:rsidR="00867D85" w:rsidRPr="004D511E">
        <w:rPr>
          <w:szCs w:val="22"/>
          <w:lang w:val="es-CR"/>
        </w:rPr>
        <w:t xml:space="preserve"> del 2023</w:t>
      </w:r>
    </w:p>
    <w:p w14:paraId="199C249B" w14:textId="6200AB41" w:rsidR="004D511E" w:rsidRPr="004D511E" w:rsidRDefault="002B20F3" w:rsidP="004D511E">
      <w:pPr>
        <w:tabs>
          <w:tab w:val="left" w:pos="2843"/>
        </w:tabs>
        <w:spacing w:line="240" w:lineRule="auto"/>
        <w:jc w:val="center"/>
        <w:rPr>
          <w:szCs w:val="22"/>
          <w:lang w:val="es-CR"/>
        </w:rPr>
      </w:pPr>
      <w:sdt>
        <w:sdtPr>
          <w:rPr>
            <w:sz w:val="24"/>
            <w:lang w:val="es-CR"/>
          </w:rPr>
          <w:alias w:val="Consecutivo"/>
          <w:tag w:val="Consecutivo"/>
          <w:id w:val="2052717023"/>
          <w:placeholder>
            <w:docPart w:val="43CF29CA79F846C88BB61BFDD9999C4B"/>
          </w:placeholder>
          <w:text/>
        </w:sdtPr>
        <w:sdtEndPr/>
        <w:sdtContent>
          <w:r w:rsidR="007B32AA">
            <w:t>SGF-1378-2023</w:t>
          </w:r>
        </w:sdtContent>
      </w:sdt>
    </w:p>
    <w:p w14:paraId="061E8FDC" w14:textId="0093A079" w:rsidR="00867D85" w:rsidRPr="004D511E" w:rsidRDefault="00867D85" w:rsidP="004D511E">
      <w:pPr>
        <w:tabs>
          <w:tab w:val="left" w:pos="2843"/>
        </w:tabs>
        <w:spacing w:line="240" w:lineRule="auto"/>
        <w:jc w:val="center"/>
        <w:rPr>
          <w:szCs w:val="22"/>
          <w:lang w:val="es-CR"/>
        </w:rPr>
      </w:pPr>
      <w:r w:rsidRPr="004D511E">
        <w:rPr>
          <w:szCs w:val="22"/>
          <w:lang w:val="es-CR"/>
        </w:rPr>
        <w:t>-</w:t>
      </w:r>
      <w:sdt>
        <w:sdtPr>
          <w:rPr>
            <w:szCs w:val="22"/>
            <w:lang w:val="es-CR"/>
          </w:rPr>
          <w:alias w:val="Confidencialidad"/>
          <w:tag w:val="Confidencialidad"/>
          <w:id w:val="476735760"/>
          <w:placeholder>
            <w:docPart w:val="5FF6968E8A894D5DB94A84FF5213D99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D511E">
            <w:rPr>
              <w:szCs w:val="22"/>
              <w:lang w:val="es-CR"/>
            </w:rPr>
            <w:t>SGF-PUBLICO</w:t>
          </w:r>
        </w:sdtContent>
      </w:sdt>
    </w:p>
    <w:p w14:paraId="5D81A01F" w14:textId="77777777" w:rsidR="00867D85" w:rsidRPr="004D511E" w:rsidRDefault="00867D85" w:rsidP="004D511E">
      <w:pPr>
        <w:tabs>
          <w:tab w:val="left" w:pos="2843"/>
        </w:tabs>
        <w:spacing w:line="240" w:lineRule="auto"/>
        <w:rPr>
          <w:szCs w:val="22"/>
          <w:lang w:val="es-CR"/>
        </w:rPr>
      </w:pPr>
    </w:p>
    <w:p w14:paraId="50E89DC0" w14:textId="77777777" w:rsidR="00867D85" w:rsidRPr="004D511E" w:rsidRDefault="00867D85" w:rsidP="004D511E">
      <w:pPr>
        <w:widowControl w:val="0"/>
        <w:spacing w:line="240" w:lineRule="auto"/>
        <w:ind w:left="567" w:right="86" w:hanging="567"/>
        <w:rPr>
          <w:b/>
          <w:szCs w:val="22"/>
          <w:lang w:val="es-CR"/>
        </w:rPr>
      </w:pPr>
      <w:r w:rsidRPr="004D511E">
        <w:rPr>
          <w:b/>
          <w:szCs w:val="22"/>
          <w:lang w:val="es-CR"/>
        </w:rPr>
        <w:t>Dirigida a:</w:t>
      </w:r>
    </w:p>
    <w:p w14:paraId="06F8BC73" w14:textId="77777777" w:rsidR="00867D85" w:rsidRPr="004D511E" w:rsidRDefault="00867D85" w:rsidP="004D511E">
      <w:pPr>
        <w:pStyle w:val="NormalWeb"/>
        <w:spacing w:before="0" w:beforeAutospacing="0" w:after="0" w:afterAutospacing="0"/>
        <w:ind w:left="567" w:hanging="567"/>
        <w:jc w:val="both"/>
        <w:rPr>
          <w:rFonts w:ascii="Cambria" w:hAnsi="Cambria"/>
          <w:b/>
          <w:sz w:val="22"/>
          <w:szCs w:val="22"/>
          <w:lang w:val="es-CR"/>
        </w:rPr>
      </w:pPr>
    </w:p>
    <w:p w14:paraId="0F623842"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 xml:space="preserve">Bancos comerciales del Estado. </w:t>
      </w:r>
    </w:p>
    <w:p w14:paraId="46150375"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Bancos Privados.</w:t>
      </w:r>
    </w:p>
    <w:p w14:paraId="2F328449"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Bancos Creados por leyes especiales</w:t>
      </w:r>
    </w:p>
    <w:p w14:paraId="4009A3C2"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Empresas Financieras no bancarias.</w:t>
      </w:r>
    </w:p>
    <w:p w14:paraId="4CDC2F01"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Organizaciones cooperativas de ahorro y crédito</w:t>
      </w:r>
    </w:p>
    <w:p w14:paraId="360417EC"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Entidades autorizadas del Sistema Financiero Nacional para la vivienda.</w:t>
      </w:r>
    </w:p>
    <w:p w14:paraId="56169B6A"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Casas de Cambio</w:t>
      </w:r>
    </w:p>
    <w:p w14:paraId="3C5513D0"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Otras entidades financieras.</w:t>
      </w:r>
    </w:p>
    <w:p w14:paraId="26E5F864" w14:textId="77777777" w:rsidR="00867D85" w:rsidRPr="004D511E" w:rsidRDefault="00867D85" w:rsidP="004D511E">
      <w:pPr>
        <w:widowControl w:val="0"/>
        <w:numPr>
          <w:ilvl w:val="0"/>
          <w:numId w:val="3"/>
        </w:numPr>
        <w:spacing w:line="240" w:lineRule="auto"/>
        <w:ind w:left="567" w:right="86" w:hanging="567"/>
        <w:contextualSpacing/>
        <w:rPr>
          <w:b/>
          <w:szCs w:val="22"/>
          <w:lang w:val="es-CR" w:eastAsia="es-ES"/>
        </w:rPr>
      </w:pPr>
      <w:r w:rsidRPr="004D511E">
        <w:rPr>
          <w:szCs w:val="22"/>
          <w:lang w:val="es-CR"/>
        </w:rPr>
        <w:t>Operadores Financieros del Sistema de Banca de Desarrollo</w:t>
      </w:r>
    </w:p>
    <w:p w14:paraId="5F76E865" w14:textId="77777777" w:rsidR="00867D85" w:rsidRPr="004D511E" w:rsidRDefault="00867D85" w:rsidP="004D511E">
      <w:pPr>
        <w:spacing w:line="240" w:lineRule="auto"/>
        <w:rPr>
          <w:b/>
          <w:bCs/>
          <w:szCs w:val="22"/>
          <w:lang w:val="es-CR"/>
        </w:rPr>
      </w:pPr>
    </w:p>
    <w:p w14:paraId="6FBE6340" w14:textId="77777777" w:rsidR="00867D85" w:rsidRPr="004D511E" w:rsidRDefault="00867D85" w:rsidP="004D511E">
      <w:pPr>
        <w:pStyle w:val="Texto"/>
        <w:spacing w:before="0" w:after="0" w:line="240" w:lineRule="auto"/>
        <w:ind w:left="993" w:hanging="993"/>
        <w:contextualSpacing/>
        <w:rPr>
          <w:i/>
          <w:iCs/>
          <w:sz w:val="24"/>
          <w:lang w:val="es-CR"/>
        </w:rPr>
      </w:pPr>
      <w:r w:rsidRPr="004D511E">
        <w:rPr>
          <w:b/>
          <w:bCs/>
          <w:szCs w:val="22"/>
          <w:lang w:val="es-CR"/>
        </w:rPr>
        <w:t>Asunto</w:t>
      </w:r>
      <w:r w:rsidRPr="004D511E">
        <w:rPr>
          <w:bCs/>
          <w:szCs w:val="22"/>
          <w:lang w:val="es-CR"/>
        </w:rPr>
        <w:t>:</w:t>
      </w:r>
      <w:r w:rsidRPr="004D511E">
        <w:rPr>
          <w:bCs/>
          <w:szCs w:val="22"/>
          <w:lang w:val="es-CR"/>
        </w:rPr>
        <w:tab/>
      </w:r>
      <w:r w:rsidRPr="004D511E">
        <w:rPr>
          <w:i/>
          <w:iCs/>
          <w:sz w:val="24"/>
          <w:lang w:val="es-CR"/>
        </w:rPr>
        <w:t>Ajuste en la información que se muestra en el Reporte Crediticio del CIC y el Archivo descargable, conforme las modificaciones realizadas a los “Lineamientos Generales para la Aplicación del Reglamento para la Calificación de Deudores, Acuerdo SUGEF 1-05 y Modificación de los Lineamientos Generales al Reglamento sobre gestión y evaluación del riesgo de crédito para el Sistema de Banca para el Desarrollo, Acuerdo SUGEF 15-16</w:t>
      </w:r>
      <w:r w:rsidRPr="004D511E">
        <w:rPr>
          <w:sz w:val="24"/>
          <w:lang w:val="es-CR"/>
        </w:rPr>
        <w:t>.”</w:t>
      </w:r>
    </w:p>
    <w:p w14:paraId="75F2720D" w14:textId="77777777" w:rsidR="00867D85" w:rsidRPr="004D511E" w:rsidRDefault="00867D85" w:rsidP="004D511E">
      <w:pPr>
        <w:spacing w:line="240" w:lineRule="auto"/>
        <w:contextualSpacing/>
        <w:rPr>
          <w:sz w:val="24"/>
          <w:lang w:val="es-CR"/>
        </w:rPr>
      </w:pPr>
    </w:p>
    <w:p w14:paraId="710E5AD3" w14:textId="77777777" w:rsidR="00867D85" w:rsidRPr="004D511E" w:rsidRDefault="00867D85" w:rsidP="004D511E">
      <w:pPr>
        <w:spacing w:line="240" w:lineRule="auto"/>
        <w:rPr>
          <w:b/>
          <w:szCs w:val="22"/>
          <w:lang w:val="es-CR"/>
        </w:rPr>
      </w:pPr>
      <w:r w:rsidRPr="004D511E">
        <w:rPr>
          <w:b/>
          <w:szCs w:val="22"/>
          <w:lang w:val="es-CR"/>
        </w:rPr>
        <w:t>Considerando que:</w:t>
      </w:r>
    </w:p>
    <w:p w14:paraId="4EBF4577" w14:textId="77777777" w:rsidR="00867D85" w:rsidRPr="004D511E" w:rsidRDefault="00867D85" w:rsidP="004D511E">
      <w:pPr>
        <w:spacing w:line="240" w:lineRule="auto"/>
        <w:rPr>
          <w:b/>
          <w:szCs w:val="22"/>
          <w:lang w:val="es-CR"/>
        </w:rPr>
      </w:pPr>
    </w:p>
    <w:p w14:paraId="0955B851" w14:textId="77777777" w:rsidR="00867D85" w:rsidRPr="004D511E" w:rsidRDefault="00867D85" w:rsidP="004D511E">
      <w:pPr>
        <w:numPr>
          <w:ilvl w:val="1"/>
          <w:numId w:val="5"/>
        </w:numPr>
        <w:spacing w:line="240" w:lineRule="auto"/>
        <w:ind w:left="567" w:hanging="567"/>
        <w:contextualSpacing/>
        <w:rPr>
          <w:sz w:val="24"/>
          <w:lang w:val="es-CR"/>
        </w:rPr>
      </w:pPr>
      <w:r w:rsidRPr="004D511E">
        <w:rPr>
          <w:sz w:val="24"/>
          <w:lang w:val="es-CR"/>
        </w:rPr>
        <w:t xml:space="preserve">Mediante Resolución SGF-2660-2022 del 23 de diciembre del 2022 se comunicó la modificación de los Lineamientos Generales para la Aplicación del </w:t>
      </w:r>
      <w:r w:rsidRPr="004D511E">
        <w:rPr>
          <w:i/>
          <w:iCs/>
          <w:sz w:val="24"/>
          <w:lang w:val="es-CR"/>
        </w:rPr>
        <w:t>Reglamento para la Calificación de Deudores</w:t>
      </w:r>
      <w:r w:rsidRPr="004D511E">
        <w:rPr>
          <w:sz w:val="24"/>
          <w:lang w:val="es-CR"/>
        </w:rPr>
        <w:t xml:space="preserve">, Acuerdo SUGEF 1-05, en cumplimiento de lo establecido en el numeral 2, artículo 361, de la Ley General de la Administración Pública, Ley 6227. En dicha modificación se sustituye la sección </w:t>
      </w:r>
      <w:r w:rsidRPr="004D511E">
        <w:rPr>
          <w:i/>
          <w:iCs/>
          <w:sz w:val="24"/>
          <w:lang w:val="es-CR"/>
        </w:rPr>
        <w:t>II. ANÁLISIS DEL COMPORTAMIENTO DE PAGO HISTÓRICO</w:t>
      </w:r>
      <w:r w:rsidRPr="004D511E">
        <w:rPr>
          <w:sz w:val="24"/>
          <w:lang w:val="es-CR"/>
        </w:rPr>
        <w:t>.</w:t>
      </w:r>
    </w:p>
    <w:p w14:paraId="388CB2F3" w14:textId="77777777" w:rsidR="00867D85" w:rsidRPr="004D511E" w:rsidRDefault="00867D85" w:rsidP="004D511E">
      <w:pPr>
        <w:spacing w:line="240" w:lineRule="auto"/>
        <w:contextualSpacing/>
        <w:rPr>
          <w:sz w:val="24"/>
          <w:lang w:val="es-CR"/>
        </w:rPr>
      </w:pPr>
    </w:p>
    <w:p w14:paraId="08B9DE9C" w14:textId="77777777" w:rsidR="00867D85" w:rsidRPr="004D511E" w:rsidRDefault="00867D85" w:rsidP="004D511E">
      <w:pPr>
        <w:numPr>
          <w:ilvl w:val="1"/>
          <w:numId w:val="5"/>
        </w:numPr>
        <w:spacing w:line="240" w:lineRule="auto"/>
        <w:ind w:left="567" w:hanging="567"/>
        <w:contextualSpacing/>
        <w:rPr>
          <w:sz w:val="24"/>
          <w:lang w:val="es-CR"/>
        </w:rPr>
      </w:pPr>
      <w:r w:rsidRPr="004D511E">
        <w:rPr>
          <w:sz w:val="24"/>
          <w:lang w:val="es-CR"/>
        </w:rPr>
        <w:t xml:space="preserve">Se propone una nueva metodología de comportamiento de pago histórico que aumenta el peso relativo para las observaciones más recientes empleando la metodología de decaimiento exponencial, en lugar de la metodología actual que asigna igual peso a los datos de morosidad, independientemente del momento en que ocurran dentro de la ventana de 48 meses. </w:t>
      </w:r>
    </w:p>
    <w:p w14:paraId="5D9DC157" w14:textId="77777777" w:rsidR="00867D85" w:rsidRPr="004D511E" w:rsidRDefault="00867D85" w:rsidP="004D511E">
      <w:pPr>
        <w:spacing w:line="240" w:lineRule="auto"/>
        <w:rPr>
          <w:sz w:val="24"/>
          <w:lang w:val="es-CR"/>
        </w:rPr>
      </w:pPr>
    </w:p>
    <w:p w14:paraId="080F0911" w14:textId="67546840" w:rsidR="00867D85" w:rsidRPr="004D511E" w:rsidRDefault="008A00BA" w:rsidP="004D511E">
      <w:pPr>
        <w:numPr>
          <w:ilvl w:val="1"/>
          <w:numId w:val="5"/>
        </w:numPr>
        <w:spacing w:line="240" w:lineRule="auto"/>
        <w:ind w:left="567" w:hanging="567"/>
        <w:contextualSpacing/>
        <w:rPr>
          <w:sz w:val="24"/>
          <w:lang w:val="es-CR"/>
        </w:rPr>
      </w:pPr>
      <w:r w:rsidRPr="004D511E">
        <w:rPr>
          <w:sz w:val="24"/>
          <w:lang w:val="es-CR"/>
        </w:rPr>
        <w:t>E</w:t>
      </w:r>
      <w:r w:rsidR="00867D85" w:rsidRPr="004D511E">
        <w:rPr>
          <w:sz w:val="24"/>
          <w:lang w:val="es-CR"/>
        </w:rPr>
        <w:t xml:space="preserve">l evento de </w:t>
      </w:r>
      <w:r w:rsidR="00867D85" w:rsidRPr="004D511E">
        <w:rPr>
          <w:i/>
          <w:iCs/>
          <w:sz w:val="24"/>
          <w:lang w:val="es-CR"/>
        </w:rPr>
        <w:t>dación de bien en pago</w:t>
      </w:r>
      <w:r w:rsidR="00867D85" w:rsidRPr="004D511E">
        <w:rPr>
          <w:sz w:val="24"/>
          <w:lang w:val="es-CR"/>
        </w:rPr>
        <w:t xml:space="preserve"> que actualmente detona el pase directo a CPH3 por un periodo de 48 meses, está siendo excluido del algoritmo, únicamente cuando esté relacionado con operaciones de crédito de vivienda residencial y la dación en pago produzca la extinción total de la deuda, adicionalmente, en línea con la recalibración de la memoria del CPH</w:t>
      </w:r>
      <w:r w:rsidRPr="004D511E">
        <w:rPr>
          <w:sz w:val="24"/>
          <w:lang w:val="es-CR"/>
        </w:rPr>
        <w:t>.</w:t>
      </w:r>
      <w:r w:rsidR="00867D85" w:rsidRPr="004D511E">
        <w:rPr>
          <w:sz w:val="24"/>
          <w:lang w:val="es-CR"/>
        </w:rPr>
        <w:t xml:space="preserve"> </w:t>
      </w:r>
      <w:r w:rsidRPr="004D511E">
        <w:rPr>
          <w:sz w:val="24"/>
          <w:lang w:val="es-CR"/>
        </w:rPr>
        <w:t>E</w:t>
      </w:r>
      <w:r w:rsidR="00867D85" w:rsidRPr="004D511E">
        <w:rPr>
          <w:sz w:val="24"/>
          <w:lang w:val="es-CR"/>
        </w:rPr>
        <w:t>n el caso de presentarse alguno de los eventos que detonan el pase directo a CPH3, el deudor se mantendrá en dicho nivel por un periodo de 24 meses.</w:t>
      </w:r>
    </w:p>
    <w:p w14:paraId="43DB7837" w14:textId="77777777" w:rsidR="00867D85" w:rsidRPr="004D511E" w:rsidRDefault="00867D85" w:rsidP="004D511E">
      <w:pPr>
        <w:spacing w:line="240" w:lineRule="auto"/>
        <w:contextualSpacing/>
        <w:rPr>
          <w:sz w:val="24"/>
          <w:lang w:val="es-CR"/>
        </w:rPr>
      </w:pPr>
    </w:p>
    <w:p w14:paraId="559FA1CF" w14:textId="77777777" w:rsidR="00867D85" w:rsidRPr="004D511E" w:rsidRDefault="00867D85" w:rsidP="004D511E">
      <w:pPr>
        <w:numPr>
          <w:ilvl w:val="1"/>
          <w:numId w:val="5"/>
        </w:numPr>
        <w:spacing w:line="240" w:lineRule="auto"/>
        <w:ind w:left="567" w:hanging="567"/>
        <w:contextualSpacing/>
        <w:rPr>
          <w:sz w:val="24"/>
          <w:lang w:val="es-CR"/>
        </w:rPr>
      </w:pPr>
      <w:r w:rsidRPr="004D511E">
        <w:rPr>
          <w:sz w:val="24"/>
          <w:lang w:val="es-CR"/>
        </w:rPr>
        <w:t xml:space="preserve">Mediante Resolución SGF-2674-2022 del 23 de diciembre del 2022 se comunicó la modificación de los Lineamientos Generales </w:t>
      </w:r>
      <w:r w:rsidRPr="004D511E">
        <w:rPr>
          <w:i/>
          <w:iCs/>
          <w:sz w:val="24"/>
          <w:lang w:val="es-CR"/>
        </w:rPr>
        <w:t>al Reglamento sobre gestión y evaluación del riesgo de crédito para el Sistema de Banca para el Desarrollo, Acuerdo SUGEF 15-16</w:t>
      </w:r>
      <w:r w:rsidRPr="004D511E">
        <w:rPr>
          <w:sz w:val="24"/>
          <w:lang w:val="es-CR"/>
        </w:rPr>
        <w:t xml:space="preserve">. Se modifica el inciso d) Clasificación directa en CPH-SBD de Nivel 3 de la sección VI. COMPORTAMIENTO DE PAGO HISTÓRICO EN EL SBD (CPH-SBD). </w:t>
      </w:r>
    </w:p>
    <w:p w14:paraId="680F5525" w14:textId="77777777" w:rsidR="00867D85" w:rsidRPr="004D511E" w:rsidRDefault="00867D85" w:rsidP="004D511E">
      <w:pPr>
        <w:spacing w:line="240" w:lineRule="auto"/>
        <w:rPr>
          <w:sz w:val="24"/>
          <w:lang w:val="es-CR"/>
        </w:rPr>
      </w:pPr>
    </w:p>
    <w:p w14:paraId="2F424934" w14:textId="77777777" w:rsidR="00867D85" w:rsidRPr="004D511E" w:rsidRDefault="00867D85" w:rsidP="004D511E">
      <w:pPr>
        <w:numPr>
          <w:ilvl w:val="1"/>
          <w:numId w:val="5"/>
        </w:numPr>
        <w:spacing w:line="240" w:lineRule="auto"/>
        <w:ind w:left="567" w:hanging="567"/>
        <w:contextualSpacing/>
        <w:rPr>
          <w:sz w:val="24"/>
          <w:lang w:val="es-CR"/>
        </w:rPr>
      </w:pPr>
      <w:r w:rsidRPr="004D511E">
        <w:rPr>
          <w:sz w:val="24"/>
          <w:lang w:val="es-CR"/>
        </w:rPr>
        <w:t>Mediante Resolución SGF-2675-2022 del 23 de diciembre del 2022 se comunicó la modificación de los '</w:t>
      </w:r>
      <w:r w:rsidRPr="004D511E">
        <w:rPr>
          <w:i/>
          <w:iCs/>
          <w:sz w:val="24"/>
          <w:lang w:val="es-CR"/>
        </w:rPr>
        <w:t>Lineamientos Generales para la Aplicación del Reglamento sobre Cálculo de Estimaciones Crediticias</w:t>
      </w:r>
      <w:r w:rsidRPr="004D511E">
        <w:rPr>
          <w:sz w:val="24"/>
          <w:lang w:val="es-CR"/>
        </w:rPr>
        <w:t>'</w:t>
      </w:r>
      <w:r w:rsidRPr="004D511E">
        <w:rPr>
          <w:i/>
          <w:iCs/>
          <w:sz w:val="24"/>
          <w:lang w:val="es-CR"/>
        </w:rPr>
        <w:t>, Acuerdo CONASSIF 14-21.</w:t>
      </w:r>
    </w:p>
    <w:p w14:paraId="1CFF24C9" w14:textId="77777777" w:rsidR="00867D85" w:rsidRPr="004D511E" w:rsidRDefault="00867D85" w:rsidP="004D511E">
      <w:pPr>
        <w:spacing w:line="240" w:lineRule="auto"/>
        <w:ind w:right="57"/>
        <w:contextualSpacing/>
        <w:jc w:val="left"/>
        <w:rPr>
          <w:szCs w:val="22"/>
          <w:lang w:val="es-CR"/>
        </w:rPr>
      </w:pPr>
    </w:p>
    <w:p w14:paraId="03330525" w14:textId="77777777" w:rsidR="00867D85" w:rsidRPr="004D511E" w:rsidRDefault="00867D85" w:rsidP="004D511E">
      <w:pPr>
        <w:spacing w:line="240" w:lineRule="auto"/>
        <w:rPr>
          <w:rFonts w:eastAsia="Cambria" w:cs="Cambria"/>
          <w:b/>
          <w:i/>
          <w:szCs w:val="22"/>
          <w:lang w:val="es-CR"/>
        </w:rPr>
      </w:pPr>
      <w:r w:rsidRPr="004D511E">
        <w:rPr>
          <w:rFonts w:eastAsia="Cambria" w:cs="Cambria"/>
          <w:b/>
          <w:i/>
          <w:szCs w:val="22"/>
          <w:lang w:val="es-CR"/>
        </w:rPr>
        <w:t>Dispone:</w:t>
      </w:r>
    </w:p>
    <w:p w14:paraId="575912EA" w14:textId="77777777" w:rsidR="00867D85" w:rsidRPr="004D511E" w:rsidRDefault="00867D85" w:rsidP="004D511E">
      <w:pPr>
        <w:spacing w:line="240" w:lineRule="auto"/>
        <w:rPr>
          <w:rFonts w:eastAsia="Cambria" w:cs="Cambria"/>
          <w:b/>
          <w:i/>
          <w:szCs w:val="22"/>
          <w:lang w:val="es-CR"/>
        </w:rPr>
      </w:pPr>
    </w:p>
    <w:p w14:paraId="0F3776E0" w14:textId="00C90D81" w:rsidR="00867D85" w:rsidRPr="004D511E" w:rsidRDefault="00867D85" w:rsidP="004D511E">
      <w:pPr>
        <w:pStyle w:val="Prrafodelista"/>
        <w:numPr>
          <w:ilvl w:val="0"/>
          <w:numId w:val="4"/>
        </w:numPr>
        <w:spacing w:line="240" w:lineRule="auto"/>
        <w:rPr>
          <w:sz w:val="24"/>
          <w:lang w:val="es-CR"/>
        </w:rPr>
      </w:pPr>
      <w:r w:rsidRPr="004D511E">
        <w:rPr>
          <w:sz w:val="24"/>
          <w:lang w:val="es-CR"/>
        </w:rPr>
        <w:t>Hacer los ajustes requeridos en el Centro de Información Creditici</w:t>
      </w:r>
      <w:r w:rsidR="008A00BA" w:rsidRPr="004D511E">
        <w:rPr>
          <w:sz w:val="24"/>
          <w:lang w:val="es-CR"/>
        </w:rPr>
        <w:t>a</w:t>
      </w:r>
      <w:r w:rsidRPr="004D511E">
        <w:rPr>
          <w:sz w:val="24"/>
          <w:lang w:val="es-CR"/>
        </w:rPr>
        <w:t xml:space="preserve"> (CIC) a efectos de mostrar en el Reporte Crediticio del CIC, el “Puntaje Final del Deudor” conforme la nueva metodología del cálculo del Comportamiento de Pago Histórico (CPH).</w:t>
      </w:r>
    </w:p>
    <w:p w14:paraId="5DD82E03" w14:textId="77777777" w:rsidR="00867D85" w:rsidRPr="004D511E" w:rsidRDefault="00867D85" w:rsidP="004D511E">
      <w:pPr>
        <w:spacing w:line="240" w:lineRule="auto"/>
        <w:rPr>
          <w:sz w:val="24"/>
          <w:lang w:val="es-CR"/>
        </w:rPr>
      </w:pPr>
    </w:p>
    <w:p w14:paraId="496A2399" w14:textId="77777777" w:rsidR="00867D85" w:rsidRPr="004D511E" w:rsidRDefault="00867D85" w:rsidP="004D511E">
      <w:pPr>
        <w:pStyle w:val="Prrafodelista"/>
        <w:numPr>
          <w:ilvl w:val="0"/>
          <w:numId w:val="4"/>
        </w:numPr>
        <w:spacing w:line="240" w:lineRule="auto"/>
        <w:rPr>
          <w:sz w:val="24"/>
          <w:lang w:val="es-CR"/>
        </w:rPr>
      </w:pPr>
      <w:r w:rsidRPr="004D511E">
        <w:rPr>
          <w:sz w:val="24"/>
          <w:lang w:val="es-CR"/>
        </w:rPr>
        <w:t>Incluir una nueva columna en el cuadro de “Situación Histórica” del Reporte Crediticio del CIC, denominada “Morosidad máxima ponderada en días”, que se genera con la nueva metodología.</w:t>
      </w:r>
    </w:p>
    <w:p w14:paraId="07E47DC0" w14:textId="77777777" w:rsidR="00867D85" w:rsidRPr="004D511E" w:rsidRDefault="00867D85" w:rsidP="004D511E">
      <w:pPr>
        <w:spacing w:line="240" w:lineRule="auto"/>
        <w:rPr>
          <w:sz w:val="24"/>
          <w:lang w:val="es-CR"/>
        </w:rPr>
      </w:pPr>
    </w:p>
    <w:p w14:paraId="63B8E811" w14:textId="28309933" w:rsidR="00867D85" w:rsidRPr="004D511E" w:rsidRDefault="00867D85" w:rsidP="004D511E">
      <w:pPr>
        <w:pStyle w:val="Prrafodelista"/>
        <w:numPr>
          <w:ilvl w:val="0"/>
          <w:numId w:val="4"/>
        </w:numPr>
        <w:spacing w:line="240" w:lineRule="auto"/>
        <w:rPr>
          <w:sz w:val="24"/>
          <w:lang w:val="es-CR"/>
        </w:rPr>
      </w:pPr>
      <w:r w:rsidRPr="004D511E">
        <w:rPr>
          <w:sz w:val="24"/>
          <w:lang w:val="es-CR"/>
        </w:rPr>
        <w:t xml:space="preserve">Aclarar </w:t>
      </w:r>
      <w:r w:rsidR="004D511E" w:rsidRPr="004D511E">
        <w:rPr>
          <w:sz w:val="24"/>
          <w:lang w:val="es-CR"/>
        </w:rPr>
        <w:t>que,</w:t>
      </w:r>
      <w:r w:rsidRPr="004D511E">
        <w:rPr>
          <w:sz w:val="24"/>
          <w:lang w:val="es-CR"/>
        </w:rPr>
        <w:t xml:space="preserve"> para efectos de las operaciones del Sistema de Banca de Desarrollo, no aplica la metodología indicada, por lo que el cuadro de “Situación Histórica SBD” permanece igual.</w:t>
      </w:r>
    </w:p>
    <w:p w14:paraId="47ABD2A8" w14:textId="77777777" w:rsidR="00867D85" w:rsidRPr="004D511E" w:rsidRDefault="00867D85" w:rsidP="004D511E">
      <w:pPr>
        <w:spacing w:line="240" w:lineRule="auto"/>
        <w:rPr>
          <w:sz w:val="24"/>
          <w:lang w:val="es-CR"/>
        </w:rPr>
      </w:pPr>
    </w:p>
    <w:p w14:paraId="25BD41E3" w14:textId="77777777" w:rsidR="00867D85" w:rsidRPr="004D511E" w:rsidRDefault="00867D85" w:rsidP="004D511E">
      <w:pPr>
        <w:pStyle w:val="Prrafodelista"/>
        <w:numPr>
          <w:ilvl w:val="0"/>
          <w:numId w:val="4"/>
        </w:numPr>
        <w:spacing w:line="240" w:lineRule="auto"/>
        <w:rPr>
          <w:rStyle w:val="html-tag"/>
          <w:sz w:val="24"/>
          <w:lang w:val="es-CR"/>
        </w:rPr>
      </w:pPr>
      <w:r w:rsidRPr="004D511E">
        <w:rPr>
          <w:sz w:val="24"/>
          <w:lang w:val="es-CR"/>
        </w:rPr>
        <w:t xml:space="preserve">Incluir en el Archivo Descargable dos campos nuevos </w:t>
      </w:r>
      <w:r w:rsidRPr="004D511E">
        <w:rPr>
          <w:rStyle w:val="html-tag"/>
          <w:rFonts w:cs="Courier New"/>
          <w:sz w:val="24"/>
          <w:lang w:val="es-CR"/>
        </w:rPr>
        <w:t>MorosidadMaximaPonderadaEnDias” y “MesAtrasoMáximo”, se adjuntan los archivos con el formato nuevo de XML y XSD.</w:t>
      </w:r>
    </w:p>
    <w:p w14:paraId="6895668C" w14:textId="77777777" w:rsidR="00867D85" w:rsidRPr="004D511E" w:rsidRDefault="00867D85" w:rsidP="004D511E">
      <w:pPr>
        <w:spacing w:line="240" w:lineRule="auto"/>
        <w:rPr>
          <w:rStyle w:val="html-tag"/>
          <w:sz w:val="24"/>
          <w:lang w:val="es-CR"/>
        </w:rPr>
      </w:pPr>
    </w:p>
    <w:p w14:paraId="468BF4D5" w14:textId="77777777" w:rsidR="00867D85" w:rsidRPr="004D511E" w:rsidRDefault="00867D85" w:rsidP="004D511E">
      <w:pPr>
        <w:pStyle w:val="Prrafodelista"/>
        <w:numPr>
          <w:ilvl w:val="0"/>
          <w:numId w:val="4"/>
        </w:numPr>
        <w:spacing w:line="240" w:lineRule="auto"/>
        <w:ind w:right="6"/>
        <w:rPr>
          <w:i/>
          <w:iCs/>
          <w:sz w:val="24"/>
          <w:lang w:val="es-CR"/>
        </w:rPr>
      </w:pPr>
      <w:r w:rsidRPr="004D511E">
        <w:rPr>
          <w:rStyle w:val="html-tag"/>
          <w:sz w:val="24"/>
          <w:lang w:val="es-CR"/>
        </w:rPr>
        <w:t xml:space="preserve"> Se crea el código (34) en la “Tabla Tipo Motivo Operación No Reportada ” a efecto de que la entidad reporte la liquidación de operaciones crediticias que cumplan con lo señalado en las Circulares Externas mencionadas en el apartado anterior, respecto a la Clasificación directa en Nivel 3 </w:t>
      </w:r>
      <w:r w:rsidRPr="004D511E">
        <w:rPr>
          <w:rStyle w:val="html-tag"/>
          <w:sz w:val="24"/>
          <w:lang w:val="es-CR"/>
        </w:rPr>
        <w:lastRenderedPageBreak/>
        <w:t xml:space="preserve">cuando la dación de pago cumpla con la condición estipulada “ (…) </w:t>
      </w:r>
      <w:r w:rsidRPr="004D511E">
        <w:rPr>
          <w:i/>
          <w:iCs/>
          <w:sz w:val="24"/>
          <w:lang w:val="es-CR"/>
        </w:rPr>
        <w:t>Se exceptúa para efectos de clasificación en el Nivel 3 de comportamiento de pago histórico, la dación en pago en el caso de créditos de vivienda residencial en los que la dación produzca la extinción total de la deuda;”</w:t>
      </w:r>
    </w:p>
    <w:p w14:paraId="560070EA" w14:textId="77777777" w:rsidR="00867D85" w:rsidRPr="004D511E" w:rsidRDefault="00867D85" w:rsidP="004D511E">
      <w:pPr>
        <w:pStyle w:val="xmsonormal"/>
      </w:pPr>
    </w:p>
    <w:tbl>
      <w:tblPr>
        <w:tblW w:w="5000" w:type="pct"/>
        <w:tblCellMar>
          <w:left w:w="0" w:type="dxa"/>
          <w:right w:w="0" w:type="dxa"/>
        </w:tblCellMar>
        <w:tblLook w:val="04A0" w:firstRow="1" w:lastRow="0" w:firstColumn="1" w:lastColumn="0" w:noHBand="0" w:noVBand="1"/>
      </w:tblPr>
      <w:tblGrid>
        <w:gridCol w:w="1749"/>
        <w:gridCol w:w="6396"/>
        <w:gridCol w:w="1915"/>
      </w:tblGrid>
      <w:tr w:rsidR="00867D85" w:rsidRPr="004D511E" w14:paraId="3ABB3D8A" w14:textId="77777777" w:rsidTr="004D511E">
        <w:trPr>
          <w:trHeight w:val="110"/>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1522B" w14:textId="6BB8503F" w:rsidR="00867D85" w:rsidRPr="004D511E" w:rsidRDefault="00867D85" w:rsidP="004D511E">
            <w:pPr>
              <w:pStyle w:val="xmsonormal"/>
              <w:autoSpaceDE w:val="0"/>
              <w:autoSpaceDN w:val="0"/>
              <w:rPr>
                <w:rFonts w:ascii="Cambria" w:hAnsi="Cambria"/>
              </w:rPr>
            </w:pPr>
            <w:r w:rsidRPr="004D511E">
              <w:rPr>
                <w:rFonts w:ascii="Cambria" w:hAnsi="Cambria"/>
                <w:b/>
                <w:bCs/>
                <w:color w:val="000000"/>
              </w:rPr>
              <w:t xml:space="preserve">CODIGO </w:t>
            </w:r>
          </w:p>
        </w:tc>
        <w:tc>
          <w:tcPr>
            <w:tcW w:w="3178" w:type="pc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CAA1623" w14:textId="77777777" w:rsidR="00867D85" w:rsidRPr="004D511E" w:rsidRDefault="00867D85" w:rsidP="004D511E">
            <w:pPr>
              <w:pStyle w:val="xmsonormal"/>
              <w:autoSpaceDE w:val="0"/>
              <w:autoSpaceDN w:val="0"/>
              <w:rPr>
                <w:rFonts w:ascii="Cambria" w:hAnsi="Cambria"/>
              </w:rPr>
            </w:pPr>
            <w:r w:rsidRPr="004D511E">
              <w:rPr>
                <w:rFonts w:ascii="Cambria" w:hAnsi="Cambria"/>
                <w:b/>
                <w:bCs/>
                <w:color w:val="000000"/>
              </w:rPr>
              <w:t xml:space="preserve">TIPO MOTIVO OPERACION NO REPORTADA </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200060" w14:textId="77777777" w:rsidR="00867D85" w:rsidRPr="004D511E" w:rsidRDefault="00867D85" w:rsidP="004D511E">
            <w:pPr>
              <w:pStyle w:val="xmsonormal"/>
              <w:autoSpaceDE w:val="0"/>
              <w:autoSpaceDN w:val="0"/>
              <w:rPr>
                <w:rFonts w:ascii="Cambria" w:hAnsi="Cambria"/>
              </w:rPr>
            </w:pPr>
            <w:r w:rsidRPr="004D511E">
              <w:rPr>
                <w:rFonts w:ascii="Cambria" w:hAnsi="Cambria"/>
                <w:b/>
                <w:bCs/>
                <w:color w:val="000000"/>
              </w:rPr>
              <w:t xml:space="preserve">ACTIVO </w:t>
            </w:r>
          </w:p>
        </w:tc>
      </w:tr>
      <w:tr w:rsidR="00867D85" w:rsidRPr="004D511E" w14:paraId="15106E65" w14:textId="77777777" w:rsidTr="004D511E">
        <w:trPr>
          <w:trHeight w:val="110"/>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4A8BB" w14:textId="77777777" w:rsidR="00867D85" w:rsidRPr="004D511E" w:rsidRDefault="00867D85" w:rsidP="004D511E">
            <w:pPr>
              <w:pStyle w:val="xmsonormal"/>
              <w:autoSpaceDE w:val="0"/>
              <w:autoSpaceDN w:val="0"/>
              <w:jc w:val="center"/>
              <w:rPr>
                <w:rFonts w:ascii="Cambria" w:hAnsi="Cambria"/>
              </w:rPr>
            </w:pPr>
            <w:r w:rsidRPr="004D511E">
              <w:rPr>
                <w:rFonts w:ascii="Cambria" w:hAnsi="Cambria"/>
                <w:color w:val="000000"/>
              </w:rPr>
              <w:t>34</w:t>
            </w:r>
          </w:p>
        </w:tc>
        <w:tc>
          <w:tcPr>
            <w:tcW w:w="3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39E05B" w14:textId="77777777" w:rsidR="00867D85" w:rsidRPr="004D511E" w:rsidRDefault="00867D85" w:rsidP="004D511E">
            <w:pPr>
              <w:pStyle w:val="xdefault"/>
              <w:rPr>
                <w:rFonts w:ascii="Cambria" w:hAnsi="Cambria"/>
              </w:rPr>
            </w:pPr>
            <w:r w:rsidRPr="004D511E">
              <w:rPr>
                <w:rFonts w:ascii="Cambria" w:hAnsi="Cambria"/>
                <w:sz w:val="22"/>
                <w:szCs w:val="22"/>
              </w:rPr>
              <w:t>DACION DE GARANTÍAS EN PAGO VIVIENDA-RESIDENCIAL</w:t>
            </w:r>
          </w:p>
          <w:p w14:paraId="0660D569" w14:textId="77777777" w:rsidR="00867D85" w:rsidRPr="004D511E" w:rsidRDefault="00867D85" w:rsidP="004D511E">
            <w:pPr>
              <w:pStyle w:val="xmsonormal"/>
              <w:jc w:val="both"/>
              <w:rPr>
                <w:rFonts w:ascii="Cambria" w:hAnsi="Cambria"/>
              </w:rPr>
            </w:pPr>
            <w:r w:rsidRPr="004D511E">
              <w:rPr>
                <w:rFonts w:ascii="Cambria" w:hAnsi="Cambria"/>
              </w:rPr>
              <w:t>Nota</w:t>
            </w:r>
            <w:r w:rsidRPr="004D511E">
              <w:rPr>
                <w:rFonts w:ascii="Cambria" w:hAnsi="Cambria"/>
                <w:sz w:val="20"/>
                <w:szCs w:val="20"/>
              </w:rPr>
              <w:t xml:space="preserve">: </w:t>
            </w:r>
            <w:r w:rsidRPr="004D511E">
              <w:rPr>
                <w:rFonts w:ascii="Cambria" w:hAnsi="Cambria" w:cs="Arial"/>
                <w:i/>
                <w:iCs/>
                <w:color w:val="000000"/>
                <w:sz w:val="20"/>
                <w:szCs w:val="20"/>
              </w:rPr>
              <w:t xml:space="preserve">Este código se debe utilizar exclusivamente cuando se </w:t>
            </w:r>
            <w:r w:rsidRPr="004D511E">
              <w:rPr>
                <w:rFonts w:ascii="Cambria" w:hAnsi="Cambria" w:cs="Arial"/>
                <w:i/>
                <w:iCs/>
                <w:sz w:val="20"/>
                <w:szCs w:val="20"/>
              </w:rPr>
              <w:t>haya recurrido a la dación de bienes en el caso de créditos de vivienda residencial en los que la dación produzca la extinción total de la deuda. Conforme lo comunicado en las Resoluciones SGF-2660_2022, SGF-2674_2022 y SGF-2675_2022, del 23 de diciembre 2022.</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E7C229" w14:textId="77777777" w:rsidR="00867D85" w:rsidRPr="004D511E" w:rsidRDefault="00867D85" w:rsidP="004D511E">
            <w:pPr>
              <w:pStyle w:val="xmsonormal"/>
              <w:autoSpaceDE w:val="0"/>
              <w:autoSpaceDN w:val="0"/>
              <w:jc w:val="center"/>
              <w:rPr>
                <w:rFonts w:ascii="Cambria" w:hAnsi="Cambria"/>
              </w:rPr>
            </w:pPr>
            <w:r w:rsidRPr="004D511E">
              <w:rPr>
                <w:rFonts w:ascii="Cambria" w:hAnsi="Cambria"/>
                <w:color w:val="000000"/>
              </w:rPr>
              <w:t>1</w:t>
            </w:r>
          </w:p>
        </w:tc>
      </w:tr>
    </w:tbl>
    <w:p w14:paraId="3267E7D1" w14:textId="77777777" w:rsidR="00867D85" w:rsidRPr="004D511E" w:rsidRDefault="00867D85" w:rsidP="004D511E">
      <w:pPr>
        <w:spacing w:line="240" w:lineRule="auto"/>
        <w:rPr>
          <w:rStyle w:val="html-tag"/>
          <w:sz w:val="24"/>
          <w:lang w:val="es-CR"/>
        </w:rPr>
      </w:pPr>
    </w:p>
    <w:p w14:paraId="57350F92" w14:textId="0E7A1766" w:rsidR="00867D85" w:rsidRPr="004D511E" w:rsidRDefault="00867D85" w:rsidP="004D511E">
      <w:pPr>
        <w:pStyle w:val="Prrafodelista"/>
        <w:spacing w:line="240" w:lineRule="auto"/>
        <w:ind w:left="426"/>
        <w:rPr>
          <w:rStyle w:val="html-tag"/>
          <w:sz w:val="24"/>
          <w:lang w:val="es-CR"/>
        </w:rPr>
      </w:pPr>
      <w:r w:rsidRPr="004D511E">
        <w:rPr>
          <w:rStyle w:val="html-tag"/>
          <w:sz w:val="24"/>
          <w:lang w:val="es-CR"/>
        </w:rPr>
        <w:t xml:space="preserve">Adicionalmente, se </w:t>
      </w:r>
      <w:r w:rsidR="004D511E" w:rsidRPr="004D511E">
        <w:rPr>
          <w:rStyle w:val="html-tag"/>
          <w:sz w:val="24"/>
          <w:lang w:val="es-CR"/>
        </w:rPr>
        <w:t>crean dos</w:t>
      </w:r>
      <w:r w:rsidRPr="004D511E">
        <w:rPr>
          <w:rStyle w:val="html-tag"/>
          <w:sz w:val="24"/>
          <w:lang w:val="es-CR"/>
        </w:rPr>
        <w:t xml:space="preserve"> validaciones nuevas: </w:t>
      </w:r>
    </w:p>
    <w:p w14:paraId="29A33B4B" w14:textId="77777777" w:rsidR="00867D85" w:rsidRPr="004D511E" w:rsidRDefault="00867D85" w:rsidP="004D511E">
      <w:pPr>
        <w:spacing w:line="240" w:lineRule="auto"/>
        <w:rPr>
          <w:rStyle w:val="html-tag"/>
          <w:sz w:val="24"/>
          <w:lang w:val="es-CR"/>
        </w:rPr>
      </w:pPr>
    </w:p>
    <w:p w14:paraId="76266B42" w14:textId="77777777" w:rsidR="00867D85" w:rsidRPr="004D511E" w:rsidRDefault="00867D85" w:rsidP="004D511E">
      <w:pPr>
        <w:pStyle w:val="Prrafodelista"/>
        <w:numPr>
          <w:ilvl w:val="0"/>
          <w:numId w:val="6"/>
        </w:numPr>
        <w:spacing w:line="240" w:lineRule="auto"/>
        <w:ind w:right="6"/>
        <w:rPr>
          <w:rFonts w:cs="Calibri"/>
          <w:sz w:val="24"/>
          <w:lang w:val="es-CR"/>
        </w:rPr>
      </w:pPr>
      <w:r w:rsidRPr="004D511E">
        <w:rPr>
          <w:rFonts w:cs="Calibri"/>
          <w:sz w:val="24"/>
          <w:lang w:val="es-CR"/>
        </w:rPr>
        <w:t xml:space="preserve"> Cuando el valor del campo “MotivoLiquidación” es 34, el IdOperación no debe existir en el Archivo de Operaciones.</w:t>
      </w:r>
    </w:p>
    <w:p w14:paraId="3AEDB9F7" w14:textId="77777777" w:rsidR="00867D85" w:rsidRPr="004D511E" w:rsidRDefault="00867D85" w:rsidP="004D511E">
      <w:pPr>
        <w:spacing w:line="240" w:lineRule="auto"/>
        <w:rPr>
          <w:rFonts w:cs="Calibri"/>
          <w:sz w:val="24"/>
          <w:lang w:val="es-CR"/>
        </w:rPr>
      </w:pPr>
    </w:p>
    <w:p w14:paraId="4D03FD4A" w14:textId="77777777" w:rsidR="00867D85" w:rsidRPr="004D511E" w:rsidRDefault="00867D85" w:rsidP="004D511E">
      <w:pPr>
        <w:pStyle w:val="Prrafodelista"/>
        <w:numPr>
          <w:ilvl w:val="0"/>
          <w:numId w:val="6"/>
        </w:numPr>
        <w:spacing w:line="240" w:lineRule="auto"/>
        <w:ind w:right="6"/>
        <w:rPr>
          <w:rFonts w:cs="Calibri"/>
          <w:sz w:val="24"/>
          <w:lang w:val="es-CR"/>
        </w:rPr>
      </w:pPr>
      <w:r w:rsidRPr="004D511E">
        <w:rPr>
          <w:rFonts w:cs="Calibri"/>
          <w:sz w:val="24"/>
          <w:lang w:val="es-CR"/>
        </w:rPr>
        <w:t>Cuando el valor del campo “MotivoLiquidación” es 34, en el Archivo de Garantías de Operaciones del periodo anterior para el mismo “IdOperación”, debió de reportarse al menos un registro con alguno de los valores, 3 ó 6 en el campo TipoMitigador.</w:t>
      </w:r>
    </w:p>
    <w:p w14:paraId="2D18E171" w14:textId="77777777" w:rsidR="00867D85" w:rsidRPr="004D511E" w:rsidRDefault="00867D85" w:rsidP="004D511E">
      <w:pPr>
        <w:pStyle w:val="Prrafodelista"/>
        <w:spacing w:line="240" w:lineRule="auto"/>
        <w:ind w:left="465"/>
        <w:rPr>
          <w:rFonts w:cs="Calibri"/>
          <w:sz w:val="24"/>
          <w:lang w:val="es-CR"/>
        </w:rPr>
      </w:pPr>
    </w:p>
    <w:p w14:paraId="2E8D728F" w14:textId="77777777" w:rsidR="00867D85" w:rsidRPr="004D511E" w:rsidRDefault="00867D85" w:rsidP="004D511E">
      <w:pPr>
        <w:pStyle w:val="Prrafodelista"/>
        <w:spacing w:line="240" w:lineRule="auto"/>
        <w:ind w:left="426"/>
        <w:rPr>
          <w:rStyle w:val="html-tag"/>
          <w:sz w:val="24"/>
          <w:lang w:val="es-CR"/>
        </w:rPr>
      </w:pPr>
      <w:r w:rsidRPr="004D511E">
        <w:rPr>
          <w:rFonts w:cs="Calibri"/>
          <w:sz w:val="24"/>
          <w:lang w:val="es-CR"/>
        </w:rPr>
        <w:t>Estas validaciones se incluyeron tanto para la carga actual “Normativa 1-05”, cómo para las validaciones que entrarán a regir con el Acuerdo CONASSIF 14-21 y se</w:t>
      </w:r>
      <w:r w:rsidRPr="004D511E">
        <w:rPr>
          <w:rStyle w:val="html-tag"/>
          <w:sz w:val="24"/>
          <w:lang w:val="es-CR"/>
        </w:rPr>
        <w:t xml:space="preserve"> ubicarán en el “</w:t>
      </w:r>
      <w:r w:rsidRPr="004D511E">
        <w:rPr>
          <w:rStyle w:val="html-tag"/>
          <w:i/>
          <w:iCs/>
          <w:sz w:val="24"/>
          <w:lang w:val="es-CR"/>
        </w:rPr>
        <w:t>Bloque para la Información de Operaciones No Reportadas</w:t>
      </w:r>
      <w:r w:rsidRPr="004D511E">
        <w:rPr>
          <w:rStyle w:val="html-tag"/>
          <w:sz w:val="24"/>
          <w:lang w:val="es-CR"/>
        </w:rPr>
        <w:t xml:space="preserve">” del Documento de Operaciones Crediticias de la Clase de Datos Crediticia. </w:t>
      </w:r>
    </w:p>
    <w:p w14:paraId="14F1491A" w14:textId="77777777" w:rsidR="00867D85" w:rsidRPr="004D511E" w:rsidRDefault="00867D85" w:rsidP="004D511E">
      <w:pPr>
        <w:spacing w:line="240" w:lineRule="auto"/>
        <w:rPr>
          <w:rStyle w:val="html-tag"/>
          <w:sz w:val="24"/>
          <w:lang w:val="es-CR"/>
        </w:rPr>
      </w:pPr>
    </w:p>
    <w:p w14:paraId="078E24BE" w14:textId="77777777" w:rsidR="00867D85" w:rsidRPr="004D511E" w:rsidRDefault="00867D85" w:rsidP="004D511E">
      <w:pPr>
        <w:pStyle w:val="Prrafodelista"/>
        <w:numPr>
          <w:ilvl w:val="0"/>
          <w:numId w:val="4"/>
        </w:numPr>
        <w:spacing w:line="240" w:lineRule="auto"/>
        <w:rPr>
          <w:sz w:val="24"/>
          <w:lang w:val="es-CR"/>
        </w:rPr>
      </w:pPr>
      <w:r w:rsidRPr="004D511E">
        <w:rPr>
          <w:rStyle w:val="html-tag"/>
          <w:rFonts w:cs="Courier New"/>
          <w:sz w:val="24"/>
          <w:lang w:val="es-CR"/>
        </w:rPr>
        <w:t xml:space="preserve">Denotar que junto con los ajustes anteriores se realizaron </w:t>
      </w:r>
      <w:r w:rsidRPr="004D511E">
        <w:rPr>
          <w:sz w:val="24"/>
          <w:lang w:val="es-CR"/>
        </w:rPr>
        <w:t>mejoras a la estructura y diseño del Reporte Crediticio, para lo cual se modificó la ubicación de algunos elementos y, a nivel de HTML, se modificaron nombres de etiquetas y tablas. Se adjuntan ejemplos de los Reportes Crediticios del CIC con los nuevos formatos con nombres y datos ficticios para lo que consideren pertinente.</w:t>
      </w:r>
    </w:p>
    <w:p w14:paraId="73244CA2" w14:textId="77777777" w:rsidR="00867D85" w:rsidRPr="004D511E" w:rsidRDefault="00867D85" w:rsidP="004D511E">
      <w:pPr>
        <w:spacing w:line="240" w:lineRule="auto"/>
        <w:rPr>
          <w:rStyle w:val="html-tag"/>
          <w:sz w:val="24"/>
          <w:lang w:val="es-CR"/>
        </w:rPr>
      </w:pPr>
    </w:p>
    <w:p w14:paraId="529CEB38" w14:textId="045F7253" w:rsidR="00867D85" w:rsidRPr="004D511E" w:rsidRDefault="00867D85" w:rsidP="004D511E">
      <w:pPr>
        <w:pStyle w:val="Prrafodelista"/>
        <w:numPr>
          <w:ilvl w:val="0"/>
          <w:numId w:val="4"/>
        </w:numPr>
        <w:spacing w:line="240" w:lineRule="auto"/>
        <w:ind w:left="426" w:hanging="426"/>
        <w:rPr>
          <w:rStyle w:val="html-tag"/>
          <w:sz w:val="24"/>
          <w:lang w:val="es-CR"/>
        </w:rPr>
      </w:pPr>
      <w:r w:rsidRPr="004D511E">
        <w:rPr>
          <w:rStyle w:val="html-tag"/>
          <w:sz w:val="24"/>
          <w:lang w:val="es-CR"/>
        </w:rPr>
        <w:t>Los ajustes a los Reportes Crediticios del CIC aplica a partir del 1</w:t>
      </w:r>
      <w:r w:rsidRPr="004D511E">
        <w:rPr>
          <w:rStyle w:val="html-tag"/>
          <w:rFonts w:ascii="Times New Roman" w:eastAsia="MS Mincho" w:hAnsi="Times New Roman"/>
          <w:sz w:val="24"/>
          <w:lang w:val="es-CR" w:eastAsia="ja-JP"/>
        </w:rPr>
        <w:t>º</w:t>
      </w:r>
      <w:r w:rsidRPr="004D511E">
        <w:rPr>
          <w:rStyle w:val="html-tag"/>
          <w:sz w:val="24"/>
          <w:lang w:val="es-CR"/>
        </w:rPr>
        <w:t>de julio del 2023.</w:t>
      </w:r>
    </w:p>
    <w:p w14:paraId="68F8B3A9" w14:textId="77777777" w:rsidR="00867D85" w:rsidRPr="004D511E" w:rsidRDefault="00867D85" w:rsidP="004D511E">
      <w:pPr>
        <w:spacing w:line="240" w:lineRule="auto"/>
        <w:rPr>
          <w:rStyle w:val="html-tag"/>
          <w:sz w:val="24"/>
          <w:lang w:val="es-CR"/>
        </w:rPr>
      </w:pPr>
    </w:p>
    <w:p w14:paraId="03A75C51" w14:textId="645A9520" w:rsidR="00181ABF" w:rsidRPr="004D511E" w:rsidRDefault="004D511E" w:rsidP="004D511E">
      <w:pPr>
        <w:pStyle w:val="Texto"/>
        <w:spacing w:before="0" w:after="0" w:line="240" w:lineRule="auto"/>
        <w:rPr>
          <w:sz w:val="24"/>
          <w:lang w:val="es-CR"/>
        </w:rPr>
      </w:pPr>
      <w:r w:rsidRPr="004D511E">
        <w:rPr>
          <w:noProof/>
          <w:lang w:val="es-CR" w:eastAsia="es-CR"/>
        </w:rPr>
        <w:drawing>
          <wp:anchor distT="0" distB="0" distL="114300" distR="114300" simplePos="0" relativeHeight="251659264" behindDoc="1" locked="0" layoutInCell="1" allowOverlap="1" wp14:anchorId="3D66F94C" wp14:editId="6ACB17EB">
            <wp:simplePos x="0" y="0"/>
            <wp:positionH relativeFrom="column">
              <wp:posOffset>-265883</wp:posOffset>
            </wp:positionH>
            <wp:positionV relativeFrom="paragraph">
              <wp:posOffset>170089</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181ABF" w:rsidRPr="004D511E">
        <w:rPr>
          <w:sz w:val="24"/>
          <w:lang w:val="es-CR"/>
        </w:rPr>
        <w:t>Atentamente,</w:t>
      </w:r>
    </w:p>
    <w:p w14:paraId="468D49F2" w14:textId="6F68B2A8" w:rsidR="00181ABF" w:rsidRPr="004D511E" w:rsidRDefault="00181ABF" w:rsidP="004D511E">
      <w:pPr>
        <w:spacing w:line="240" w:lineRule="auto"/>
        <w:rPr>
          <w:sz w:val="24"/>
          <w:lang w:val="es-CR"/>
        </w:rPr>
      </w:pPr>
    </w:p>
    <w:p w14:paraId="355A9D6F" w14:textId="441C2EB4" w:rsidR="00181ABF" w:rsidRPr="004D511E" w:rsidRDefault="00181ABF" w:rsidP="004D511E">
      <w:pPr>
        <w:spacing w:line="240" w:lineRule="auto"/>
        <w:rPr>
          <w:sz w:val="24"/>
          <w:lang w:val="es-CR"/>
        </w:rPr>
      </w:pPr>
    </w:p>
    <w:p w14:paraId="3BE70B6E" w14:textId="77777777" w:rsidR="004D69D3" w:rsidRDefault="004D69D3" w:rsidP="004D69D3">
      <w:pPr>
        <w:pStyle w:val="Negrita"/>
        <w:spacing w:line="240" w:lineRule="auto"/>
        <w:rPr>
          <w:b w:val="0"/>
          <w:szCs w:val="22"/>
        </w:rPr>
      </w:pPr>
      <w:bookmarkStart w:id="0" w:name="_Hlk53758837"/>
      <w:r>
        <w:rPr>
          <w:b w:val="0"/>
          <w:szCs w:val="22"/>
        </w:rPr>
        <w:t>José Armando Fallas Martínez</w:t>
      </w:r>
    </w:p>
    <w:p w14:paraId="29AE4105" w14:textId="77777777" w:rsidR="004D69D3" w:rsidRDefault="004D69D3" w:rsidP="004D69D3">
      <w:pPr>
        <w:pStyle w:val="Negrita"/>
        <w:spacing w:line="240" w:lineRule="auto"/>
        <w:rPr>
          <w:noProof/>
          <w:szCs w:val="22"/>
          <w:lang w:val="es-CR" w:eastAsia="es-CR"/>
        </w:rPr>
      </w:pPr>
      <w:r>
        <w:rPr>
          <w:szCs w:val="22"/>
        </w:rPr>
        <w:t xml:space="preserve">Intendente </w:t>
      </w:r>
      <w:r>
        <w:rPr>
          <w:noProof/>
          <w:szCs w:val="22"/>
          <w:lang w:val="es-CR" w:eastAsia="es-CR"/>
        </w:rPr>
        <w:t>General</w:t>
      </w:r>
    </w:p>
    <w:p w14:paraId="1C2B441C" w14:textId="77777777" w:rsidR="004D69D3" w:rsidRDefault="004D69D3" w:rsidP="004D511E">
      <w:pPr>
        <w:spacing w:line="240" w:lineRule="auto"/>
        <w:jc w:val="left"/>
        <w:rPr>
          <w:sz w:val="24"/>
          <w:lang w:val="es-CR"/>
        </w:rPr>
      </w:pPr>
    </w:p>
    <w:bookmarkEnd w:id="0"/>
    <w:p w14:paraId="02265984" w14:textId="77777777" w:rsidR="00015A8A" w:rsidRPr="004D511E" w:rsidRDefault="00015A8A" w:rsidP="004D511E">
      <w:pPr>
        <w:pStyle w:val="Negrita"/>
        <w:spacing w:line="240" w:lineRule="auto"/>
        <w:ind w:left="567" w:hanging="567"/>
        <w:rPr>
          <w:sz w:val="16"/>
          <w:szCs w:val="16"/>
          <w:lang w:val="es-CR"/>
        </w:rPr>
      </w:pPr>
    </w:p>
    <w:p w14:paraId="2B567DB2" w14:textId="7CE0658A" w:rsidR="00015A8A" w:rsidRPr="004D511E" w:rsidRDefault="00015A8A" w:rsidP="004D511E">
      <w:pPr>
        <w:pStyle w:val="Negrita"/>
        <w:spacing w:line="240" w:lineRule="auto"/>
        <w:ind w:left="567" w:hanging="567"/>
        <w:rPr>
          <w:sz w:val="16"/>
          <w:szCs w:val="16"/>
          <w:lang w:val="es-CR"/>
        </w:rPr>
      </w:pPr>
      <w:r w:rsidRPr="004D511E">
        <w:rPr>
          <w:sz w:val="16"/>
          <w:szCs w:val="16"/>
          <w:lang w:val="es-CR"/>
        </w:rPr>
        <w:t>EAMS/IMS/EJG/gvl*</w:t>
      </w:r>
    </w:p>
    <w:p w14:paraId="3020E158" w14:textId="77777777" w:rsidR="00015A8A" w:rsidRPr="004D511E" w:rsidRDefault="00015A8A" w:rsidP="004D511E">
      <w:pPr>
        <w:pStyle w:val="Negrita"/>
        <w:spacing w:line="240" w:lineRule="auto"/>
        <w:ind w:left="567" w:hanging="567"/>
        <w:rPr>
          <w:sz w:val="16"/>
          <w:szCs w:val="16"/>
          <w:lang w:val="es-CR"/>
        </w:rPr>
      </w:pPr>
    </w:p>
    <w:p w14:paraId="4A8DCFBA" w14:textId="29A9C283" w:rsidR="00E42AAC" w:rsidRPr="004D511E" w:rsidRDefault="00875EFE" w:rsidP="004D511E">
      <w:pPr>
        <w:spacing w:line="240" w:lineRule="auto"/>
        <w:rPr>
          <w:lang w:val="es-CR"/>
        </w:rPr>
      </w:pPr>
      <w:r w:rsidRPr="004D511E">
        <w:rPr>
          <w:lang w:val="es-CR"/>
        </w:rPr>
        <w:object w:dxaOrig="1532" w:dyaOrig="991" w14:anchorId="5C4D8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14" o:title=""/>
          </v:shape>
          <o:OLEObject Type="Embed" ProgID="Package" ShapeID="_x0000_i1025" DrawAspect="Icon" ObjectID="_1747228366" r:id="rId15"/>
        </w:object>
      </w:r>
      <w:r w:rsidRPr="004D511E">
        <w:rPr>
          <w:lang w:val="es-CR"/>
        </w:rPr>
        <w:tab/>
      </w:r>
      <w:r w:rsidR="00455498" w:rsidRPr="004D511E">
        <w:rPr>
          <w:lang w:val="es-CR"/>
        </w:rPr>
        <w:object w:dxaOrig="1532" w:dyaOrig="991" w14:anchorId="100708FF">
          <v:shape id="_x0000_i1026" type="#_x0000_t75" style="width:77.2pt;height:49.55pt" o:ole="">
            <v:imagedata r:id="rId16" o:title=""/>
          </v:shape>
          <o:OLEObject Type="Embed" ProgID="Package" ShapeID="_x0000_i1026" DrawAspect="Icon" ObjectID="_1747228367" r:id="rId17"/>
        </w:object>
      </w:r>
      <w:r w:rsidR="00455498" w:rsidRPr="004D511E">
        <w:rPr>
          <w:lang w:val="es-CR"/>
        </w:rPr>
        <w:tab/>
      </w:r>
      <w:r w:rsidR="00455498" w:rsidRPr="004D511E">
        <w:rPr>
          <w:lang w:val="es-CR"/>
        </w:rPr>
        <w:object w:dxaOrig="1532" w:dyaOrig="991" w14:anchorId="16893788">
          <v:shape id="_x0000_i1027" type="#_x0000_t75" style="width:77.2pt;height:49.55pt" o:ole="">
            <v:imagedata r:id="rId18" o:title=""/>
          </v:shape>
          <o:OLEObject Type="Embed" ProgID="Package" ShapeID="_x0000_i1027" DrawAspect="Icon" ObjectID="_1747228368" r:id="rId19"/>
        </w:object>
      </w:r>
      <w:r w:rsidR="00455498" w:rsidRPr="004D511E">
        <w:rPr>
          <w:lang w:val="es-CR"/>
        </w:rPr>
        <w:tab/>
      </w:r>
      <w:r w:rsidR="00455498" w:rsidRPr="004D511E">
        <w:rPr>
          <w:lang w:val="es-CR"/>
        </w:rPr>
        <w:object w:dxaOrig="1532" w:dyaOrig="991" w14:anchorId="3CC0BAEA">
          <v:shape id="_x0000_i1028" type="#_x0000_t75" style="width:77.2pt;height:49.55pt" o:ole="">
            <v:imagedata r:id="rId20" o:title=""/>
          </v:shape>
          <o:OLEObject Type="Embed" ProgID="Package" ShapeID="_x0000_i1028" DrawAspect="Icon" ObjectID="_1747228369" r:id="rId21"/>
        </w:object>
      </w:r>
    </w:p>
    <w:p w14:paraId="7F289925" w14:textId="538818C6" w:rsidR="00455498" w:rsidRPr="004D511E" w:rsidRDefault="00455498" w:rsidP="004D511E">
      <w:pPr>
        <w:spacing w:line="240" w:lineRule="auto"/>
        <w:rPr>
          <w:lang w:val="es-CR"/>
        </w:rPr>
      </w:pPr>
    </w:p>
    <w:p w14:paraId="272B5958" w14:textId="07E732B3" w:rsidR="00455498" w:rsidRPr="004D511E" w:rsidRDefault="00455498" w:rsidP="004D511E">
      <w:pPr>
        <w:spacing w:line="240" w:lineRule="auto"/>
        <w:rPr>
          <w:lang w:val="es-CR"/>
        </w:rPr>
      </w:pPr>
      <w:r w:rsidRPr="004D511E">
        <w:rPr>
          <w:lang w:val="es-CR"/>
        </w:rPr>
        <w:object w:dxaOrig="1532" w:dyaOrig="991" w14:anchorId="3E949D58">
          <v:shape id="_x0000_i1029" type="#_x0000_t75" style="width:77.2pt;height:49.55pt" o:ole="">
            <v:imagedata r:id="rId22" o:title=""/>
          </v:shape>
          <o:OLEObject Type="Embed" ProgID="Package" ShapeID="_x0000_i1029" DrawAspect="Icon" ObjectID="_1747228370" r:id="rId23"/>
        </w:object>
      </w:r>
      <w:r w:rsidRPr="004D511E">
        <w:rPr>
          <w:lang w:val="es-CR"/>
        </w:rPr>
        <w:tab/>
      </w:r>
      <w:r w:rsidRPr="004D511E">
        <w:rPr>
          <w:lang w:val="es-CR"/>
        </w:rPr>
        <w:object w:dxaOrig="1532" w:dyaOrig="991" w14:anchorId="006DAC6E">
          <v:shape id="_x0000_i1030" type="#_x0000_t75" style="width:77.2pt;height:49.55pt" o:ole="">
            <v:imagedata r:id="rId24" o:title=""/>
          </v:shape>
          <o:OLEObject Type="Embed" ProgID="Package" ShapeID="_x0000_i1030" DrawAspect="Icon" ObjectID="_1747228371" r:id="rId25"/>
        </w:object>
      </w:r>
    </w:p>
    <w:p w14:paraId="4B90B97E" w14:textId="0A290705" w:rsidR="00455498" w:rsidRPr="004D511E" w:rsidRDefault="00455498" w:rsidP="004D511E">
      <w:pPr>
        <w:spacing w:line="240" w:lineRule="auto"/>
        <w:rPr>
          <w:lang w:val="es-CR"/>
        </w:rPr>
      </w:pPr>
    </w:p>
    <w:bookmarkStart w:id="1" w:name="_MON_1746422609"/>
    <w:bookmarkEnd w:id="1"/>
    <w:p w14:paraId="62FF0209" w14:textId="02F96C34" w:rsidR="00455498" w:rsidRPr="004D511E" w:rsidRDefault="00455498" w:rsidP="004D511E">
      <w:pPr>
        <w:spacing w:line="240" w:lineRule="auto"/>
        <w:rPr>
          <w:lang w:val="es-CR"/>
        </w:rPr>
      </w:pPr>
      <w:r w:rsidRPr="004D511E">
        <w:rPr>
          <w:lang w:val="es-CR"/>
        </w:rPr>
        <w:object w:dxaOrig="1532" w:dyaOrig="991" w14:anchorId="074A807C">
          <v:shape id="_x0000_i1031" type="#_x0000_t75" style="width:77.2pt;height:49.55pt" o:ole="">
            <v:imagedata r:id="rId26" o:title=""/>
          </v:shape>
          <o:OLEObject Type="Embed" ProgID="Word.Document.12" ShapeID="_x0000_i1031" DrawAspect="Icon" ObjectID="_1747228372" r:id="rId27">
            <o:FieldCodes>\s</o:FieldCodes>
          </o:OLEObject>
        </w:object>
      </w:r>
      <w:r w:rsidRPr="004D511E">
        <w:rPr>
          <w:lang w:val="es-CR"/>
        </w:rPr>
        <w:tab/>
      </w:r>
      <w:r w:rsidRPr="004D511E">
        <w:rPr>
          <w:lang w:val="es-CR"/>
        </w:rPr>
        <w:object w:dxaOrig="1532" w:dyaOrig="991" w14:anchorId="702DEFEE">
          <v:shape id="_x0000_i1032" type="#_x0000_t75" style="width:77.2pt;height:49.55pt" o:ole="">
            <v:imagedata r:id="rId28" o:title=""/>
          </v:shape>
          <o:OLEObject Type="Embed" ProgID="Word.Document.12" ShapeID="_x0000_i1032" DrawAspect="Icon" ObjectID="_1747228373" r:id="rId29">
            <o:FieldCodes>\s</o:FieldCodes>
          </o:OLEObject>
        </w:object>
      </w:r>
      <w:r w:rsidRPr="004D511E">
        <w:rPr>
          <w:lang w:val="es-CR"/>
        </w:rPr>
        <w:tab/>
      </w:r>
      <w:r w:rsidRPr="004D511E">
        <w:rPr>
          <w:lang w:val="es-CR"/>
        </w:rPr>
        <w:object w:dxaOrig="1532" w:dyaOrig="991" w14:anchorId="5BDB3126">
          <v:shape id="_x0000_i1033" type="#_x0000_t75" style="width:77.2pt;height:49.55pt" o:ole="">
            <v:imagedata r:id="rId30" o:title=""/>
          </v:shape>
          <o:OLEObject Type="Embed" ProgID="Word.Document.12" ShapeID="_x0000_i1033" DrawAspect="Icon" ObjectID="_1747228374" r:id="rId31">
            <o:FieldCodes>\s</o:FieldCodes>
          </o:OLEObject>
        </w:object>
      </w:r>
    </w:p>
    <w:sectPr w:rsidR="00455498" w:rsidRPr="004D511E" w:rsidSect="004D511E">
      <w:headerReference w:type="even" r:id="rId32"/>
      <w:headerReference w:type="default" r:id="rId33"/>
      <w:footerReference w:type="even" r:id="rId34"/>
      <w:footerReference w:type="default" r:id="rId35"/>
      <w:headerReference w:type="first" r:id="rId36"/>
      <w:footerReference w:type="first" r:id="rId3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68EF" w14:textId="77777777" w:rsidR="00A3621D" w:rsidRDefault="00A3621D" w:rsidP="00181ABF">
      <w:pPr>
        <w:spacing w:line="240" w:lineRule="auto"/>
      </w:pPr>
      <w:r>
        <w:separator/>
      </w:r>
    </w:p>
  </w:endnote>
  <w:endnote w:type="continuationSeparator" w:id="0">
    <w:p w14:paraId="2C75BFF7" w14:textId="77777777" w:rsidR="00A3621D" w:rsidRDefault="00A3621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520C" w14:textId="77777777" w:rsidR="002B20F3" w:rsidRDefault="002B20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1617"/>
      <w:gridCol w:w="1472"/>
    </w:tblGrid>
    <w:tr w:rsidR="00181ABF" w:rsidRPr="009349F3" w14:paraId="57382D73" w14:textId="77777777" w:rsidTr="00123A91">
      <w:tc>
        <w:tcPr>
          <w:tcW w:w="2942" w:type="dxa"/>
        </w:tcPr>
        <w:p w14:paraId="1309D77A" w14:textId="77777777" w:rsidR="00181ABF" w:rsidRDefault="00264711"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161FAB86" wp14:editId="5803EAAD">
                    <wp:simplePos x="0" y="0"/>
                    <wp:positionH relativeFrom="page">
                      <wp:posOffset>0</wp:posOffset>
                    </wp:positionH>
                    <wp:positionV relativeFrom="page">
                      <wp:posOffset>9594215</wp:posOffset>
                    </wp:positionV>
                    <wp:extent cx="7772400" cy="273050"/>
                    <wp:effectExtent l="0" t="0" r="0" b="12700"/>
                    <wp:wrapNone/>
                    <wp:docPr id="2" name="MSIPCM924f4d6f806064ec9acdad7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ED520" w14:textId="77777777" w:rsidR="00264711" w:rsidRPr="00264711" w:rsidRDefault="00264711" w:rsidP="00264711">
                                <w:pPr>
                                  <w:jc w:val="center"/>
                                  <w:rPr>
                                    <w:rFonts w:ascii="Calibri" w:hAnsi="Calibri" w:cs="Calibri"/>
                                    <w:color w:val="000000"/>
                                    <w:sz w:val="20"/>
                                  </w:rPr>
                                </w:pPr>
                                <w:r w:rsidRPr="0026471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1FAB86" id="_x0000_t202" coordsize="21600,21600" o:spt="202" path="m,l,21600r21600,l21600,xe">
                    <v:stroke joinstyle="miter"/>
                    <v:path gradientshapeok="t" o:connecttype="rect"/>
                  </v:shapetype>
                  <v:shape id="MSIPCM924f4d6f806064ec9acdad7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94ED520" w14:textId="77777777" w:rsidR="00264711" w:rsidRPr="00264711" w:rsidRDefault="00264711" w:rsidP="00264711">
                          <w:pPr>
                            <w:jc w:val="center"/>
                            <w:rPr>
                              <w:rFonts w:ascii="Calibri" w:hAnsi="Calibri" w:cs="Calibri"/>
                              <w:color w:val="000000"/>
                              <w:sz w:val="20"/>
                            </w:rPr>
                          </w:pPr>
                          <w:r w:rsidRPr="00264711">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7B9C0E7A"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2CE45023" w14:textId="77777777" w:rsidR="00181ABF" w:rsidRPr="009349F3" w:rsidRDefault="00181ABF" w:rsidP="00181ABF">
          <w:pPr>
            <w:pStyle w:val="Piedepgina"/>
            <w:rPr>
              <w:b/>
              <w:color w:val="7F7F7F" w:themeColor="text1" w:themeTint="80"/>
              <w:sz w:val="16"/>
              <w:szCs w:val="16"/>
            </w:rPr>
          </w:pPr>
        </w:p>
      </w:tc>
      <w:tc>
        <w:tcPr>
          <w:tcW w:w="2943" w:type="dxa"/>
        </w:tcPr>
        <w:p w14:paraId="4DE32542"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1E1926F3"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45F8072D"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21348865"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7530" w14:textId="77777777" w:rsidR="002B20F3" w:rsidRDefault="002B20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D583" w14:textId="77777777" w:rsidR="00A3621D" w:rsidRDefault="00A3621D" w:rsidP="00181ABF">
      <w:pPr>
        <w:spacing w:line="240" w:lineRule="auto"/>
      </w:pPr>
      <w:r>
        <w:separator/>
      </w:r>
    </w:p>
  </w:footnote>
  <w:footnote w:type="continuationSeparator" w:id="0">
    <w:p w14:paraId="382A42E3" w14:textId="77777777" w:rsidR="00A3621D" w:rsidRDefault="00A3621D"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6949" w14:textId="77777777" w:rsidR="002B20F3" w:rsidRDefault="002B20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FF06" w14:textId="77777777" w:rsidR="00181ABF" w:rsidRDefault="00181ABF">
    <w:pPr>
      <w:pStyle w:val="Encabezado"/>
    </w:pPr>
  </w:p>
  <w:p w14:paraId="7F535DB2" w14:textId="77777777" w:rsidR="00181ABF" w:rsidRDefault="00181ABF" w:rsidP="00181ABF">
    <w:pPr>
      <w:pStyle w:val="Encabezado"/>
      <w:jc w:val="center"/>
    </w:pPr>
    <w:r>
      <w:rPr>
        <w:noProof/>
        <w:lang w:val="es-CR" w:eastAsia="es-CR"/>
      </w:rPr>
      <w:drawing>
        <wp:inline distT="0" distB="0" distL="0" distR="0" wp14:anchorId="42113749" wp14:editId="2982B32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B008" w14:textId="77777777" w:rsidR="002B20F3" w:rsidRDefault="002B20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4C768EE"/>
    <w:multiLevelType w:val="hybridMultilevel"/>
    <w:tmpl w:val="3FD4FC9A"/>
    <w:lvl w:ilvl="0" w:tplc="ED5459E6">
      <w:start w:val="1"/>
      <w:numFmt w:val="lowerLetter"/>
      <w:lvlText w:val="%1)"/>
      <w:lvlJc w:val="left"/>
      <w:pPr>
        <w:ind w:left="465" w:hanging="360"/>
      </w:pPr>
    </w:lvl>
    <w:lvl w:ilvl="1" w:tplc="140A0019">
      <w:start w:val="1"/>
      <w:numFmt w:val="lowerLetter"/>
      <w:lvlText w:val="%2."/>
      <w:lvlJc w:val="left"/>
      <w:pPr>
        <w:ind w:left="1185" w:hanging="360"/>
      </w:pPr>
    </w:lvl>
    <w:lvl w:ilvl="2" w:tplc="140A001B">
      <w:start w:val="1"/>
      <w:numFmt w:val="lowerRoman"/>
      <w:lvlText w:val="%3."/>
      <w:lvlJc w:val="right"/>
      <w:pPr>
        <w:ind w:left="1905" w:hanging="180"/>
      </w:pPr>
    </w:lvl>
    <w:lvl w:ilvl="3" w:tplc="140A000F">
      <w:start w:val="1"/>
      <w:numFmt w:val="decimal"/>
      <w:lvlText w:val="%4."/>
      <w:lvlJc w:val="left"/>
      <w:pPr>
        <w:ind w:left="2625" w:hanging="360"/>
      </w:pPr>
    </w:lvl>
    <w:lvl w:ilvl="4" w:tplc="140A0019">
      <w:start w:val="1"/>
      <w:numFmt w:val="lowerLetter"/>
      <w:lvlText w:val="%5."/>
      <w:lvlJc w:val="left"/>
      <w:pPr>
        <w:ind w:left="3345" w:hanging="360"/>
      </w:pPr>
    </w:lvl>
    <w:lvl w:ilvl="5" w:tplc="140A001B">
      <w:start w:val="1"/>
      <w:numFmt w:val="lowerRoman"/>
      <w:lvlText w:val="%6."/>
      <w:lvlJc w:val="right"/>
      <w:pPr>
        <w:ind w:left="4065" w:hanging="180"/>
      </w:pPr>
    </w:lvl>
    <w:lvl w:ilvl="6" w:tplc="140A000F">
      <w:start w:val="1"/>
      <w:numFmt w:val="decimal"/>
      <w:lvlText w:val="%7."/>
      <w:lvlJc w:val="left"/>
      <w:pPr>
        <w:ind w:left="4785" w:hanging="360"/>
      </w:pPr>
    </w:lvl>
    <w:lvl w:ilvl="7" w:tplc="140A0019">
      <w:start w:val="1"/>
      <w:numFmt w:val="lowerLetter"/>
      <w:lvlText w:val="%8."/>
      <w:lvlJc w:val="left"/>
      <w:pPr>
        <w:ind w:left="5505" w:hanging="360"/>
      </w:pPr>
    </w:lvl>
    <w:lvl w:ilvl="8" w:tplc="140A001B">
      <w:start w:val="1"/>
      <w:numFmt w:val="lowerRoman"/>
      <w:lvlText w:val="%9."/>
      <w:lvlJc w:val="right"/>
      <w:pPr>
        <w:ind w:left="6225" w:hanging="180"/>
      </w:pPr>
    </w:lvl>
  </w:abstractNum>
  <w:abstractNum w:abstractNumId="2" w15:restartNumberingAfterBreak="0">
    <w:nsid w:val="4BA25064"/>
    <w:multiLevelType w:val="hybridMultilevel"/>
    <w:tmpl w:val="9B2C6A28"/>
    <w:lvl w:ilvl="0" w:tplc="FD02D24E">
      <w:start w:val="1"/>
      <w:numFmt w:val="decimal"/>
      <w:lvlText w:val="%1."/>
      <w:lvlJc w:val="left"/>
      <w:pPr>
        <w:ind w:left="360" w:hanging="360"/>
      </w:pPr>
      <w:rPr>
        <w:i w:val="0"/>
        <w:i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42774A1"/>
    <w:multiLevelType w:val="hybridMultilevel"/>
    <w:tmpl w:val="1182ECBE"/>
    <w:lvl w:ilvl="0" w:tplc="E2F8D6AC">
      <w:start w:val="1"/>
      <w:numFmt w:val="upperLetter"/>
      <w:lvlText w:val="%1."/>
      <w:lvlJc w:val="left"/>
      <w:pPr>
        <w:ind w:left="436"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11FE9CD2">
      <w:start w:val="1"/>
      <w:numFmt w:val="decimal"/>
      <w:lvlText w:val="%2."/>
      <w:lvlJc w:val="left"/>
      <w:pPr>
        <w:ind w:left="8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9E8A6FA">
      <w:start w:val="1"/>
      <w:numFmt w:val="lowerRoman"/>
      <w:lvlText w:val="%3"/>
      <w:lvlJc w:val="left"/>
      <w:pPr>
        <w:ind w:left="15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9D843DA">
      <w:start w:val="1"/>
      <w:numFmt w:val="decimal"/>
      <w:lvlText w:val="%4"/>
      <w:lvlJc w:val="left"/>
      <w:pPr>
        <w:ind w:left="23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11CD3EA">
      <w:start w:val="1"/>
      <w:numFmt w:val="lowerLetter"/>
      <w:lvlText w:val="%5"/>
      <w:lvlJc w:val="left"/>
      <w:pPr>
        <w:ind w:left="30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804B86C">
      <w:start w:val="1"/>
      <w:numFmt w:val="lowerRoman"/>
      <w:lvlText w:val="%6"/>
      <w:lvlJc w:val="left"/>
      <w:pPr>
        <w:ind w:left="37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C0C7CEA">
      <w:start w:val="1"/>
      <w:numFmt w:val="decimal"/>
      <w:lvlText w:val="%7"/>
      <w:lvlJc w:val="left"/>
      <w:pPr>
        <w:ind w:left="44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87F2AF64">
      <w:start w:val="1"/>
      <w:numFmt w:val="lowerLetter"/>
      <w:lvlText w:val="%8"/>
      <w:lvlJc w:val="left"/>
      <w:pPr>
        <w:ind w:left="51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2566064">
      <w:start w:val="1"/>
      <w:numFmt w:val="lowerRoman"/>
      <w:lvlText w:val="%9"/>
      <w:lvlJc w:val="left"/>
      <w:pPr>
        <w:ind w:left="59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1D"/>
    <w:rsid w:val="00015A8A"/>
    <w:rsid w:val="000202E3"/>
    <w:rsid w:val="000624A9"/>
    <w:rsid w:val="00181ABF"/>
    <w:rsid w:val="00207D3A"/>
    <w:rsid w:val="00264711"/>
    <w:rsid w:val="002B20F3"/>
    <w:rsid w:val="003172BE"/>
    <w:rsid w:val="00455498"/>
    <w:rsid w:val="004D511E"/>
    <w:rsid w:val="004D69D3"/>
    <w:rsid w:val="007511E0"/>
    <w:rsid w:val="007B32AA"/>
    <w:rsid w:val="00804AE9"/>
    <w:rsid w:val="00867D85"/>
    <w:rsid w:val="00875EFE"/>
    <w:rsid w:val="008A00BA"/>
    <w:rsid w:val="00937EF0"/>
    <w:rsid w:val="00A3621D"/>
    <w:rsid w:val="00CF141B"/>
    <w:rsid w:val="00D2422E"/>
    <w:rsid w:val="00D67CC3"/>
    <w:rsid w:val="00D90222"/>
    <w:rsid w:val="00E42AAC"/>
    <w:rsid w:val="00E50D14"/>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6B09DA3"/>
  <w15:chartTrackingRefBased/>
  <w15:docId w15:val="{B96B9BB1-507E-48F1-983A-77185800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NormalWeb">
    <w:name w:val="Normal (Web)"/>
    <w:basedOn w:val="Normal"/>
    <w:uiPriority w:val="99"/>
    <w:semiHidden/>
    <w:unhideWhenUsed/>
    <w:rsid w:val="00867D85"/>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867D85"/>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867D85"/>
    <w:rPr>
      <w:rFonts w:ascii="Cambria" w:eastAsia="Times New Roman" w:hAnsi="Cambria" w:cs="Times New Roman"/>
      <w:szCs w:val="24"/>
      <w:lang w:val="es-ES"/>
    </w:rPr>
  </w:style>
  <w:style w:type="character" w:customStyle="1" w:styleId="html-tag">
    <w:name w:val="html-tag"/>
    <w:basedOn w:val="Fuentedeprrafopredeter"/>
    <w:rsid w:val="00867D85"/>
  </w:style>
  <w:style w:type="paragraph" w:customStyle="1" w:styleId="xmsonormal">
    <w:name w:val="x_msonormal"/>
    <w:basedOn w:val="Normal"/>
    <w:rsid w:val="00867D85"/>
    <w:pPr>
      <w:spacing w:line="240" w:lineRule="auto"/>
      <w:jc w:val="left"/>
    </w:pPr>
    <w:rPr>
      <w:rFonts w:ascii="Calibri" w:eastAsiaTheme="minorHAnsi" w:hAnsi="Calibri" w:cs="Calibri"/>
      <w:szCs w:val="22"/>
      <w:lang w:val="es-CR" w:eastAsia="es-CR"/>
    </w:rPr>
  </w:style>
  <w:style w:type="paragraph" w:customStyle="1" w:styleId="xdefault">
    <w:name w:val="x_default"/>
    <w:basedOn w:val="Normal"/>
    <w:rsid w:val="00867D85"/>
    <w:pPr>
      <w:autoSpaceDE w:val="0"/>
      <w:autoSpaceDN w:val="0"/>
      <w:spacing w:line="240" w:lineRule="auto"/>
      <w:jc w:val="left"/>
    </w:pPr>
    <w:rPr>
      <w:rFonts w:ascii="Arial" w:eastAsiaTheme="minorHAnsi" w:hAnsi="Arial" w:cs="Arial"/>
      <w:color w:val="000000"/>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glossaryDocument" Target="glossary/document.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Word_Document.docx"/><Relationship Id="rId30" Type="http://schemas.openxmlformats.org/officeDocument/2006/relationships/image" Target="media/image10.emf"/><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6968E8A894D5DB94A84FF5213D992"/>
        <w:category>
          <w:name w:val="General"/>
          <w:gallery w:val="placeholder"/>
        </w:category>
        <w:types>
          <w:type w:val="bbPlcHdr"/>
        </w:types>
        <w:behaviors>
          <w:behavior w:val="content"/>
        </w:behaviors>
        <w:guid w:val="{4F383C87-7ADC-4463-AB3A-AD2D0E06EEF1}"/>
      </w:docPartPr>
      <w:docPartBody>
        <w:p w:rsidR="008631D0" w:rsidRDefault="008C43B4" w:rsidP="008C43B4">
          <w:pPr>
            <w:pStyle w:val="5FF6968E8A894D5DB94A84FF5213D992"/>
          </w:pPr>
          <w:r>
            <w:rPr>
              <w:rStyle w:val="Textodelmarcadordeposicin"/>
            </w:rPr>
            <w:t>Elija un elemento.</w:t>
          </w:r>
        </w:p>
      </w:docPartBody>
    </w:docPart>
    <w:docPart>
      <w:docPartPr>
        <w:name w:val="43CF29CA79F846C88BB61BFDD9999C4B"/>
        <w:category>
          <w:name w:val="General"/>
          <w:gallery w:val="placeholder"/>
        </w:category>
        <w:types>
          <w:type w:val="bbPlcHdr"/>
        </w:types>
        <w:behaviors>
          <w:behavior w:val="content"/>
        </w:behaviors>
        <w:guid w:val="{B3C8E723-8B54-4CFF-9394-180C88682F42}"/>
      </w:docPartPr>
      <w:docPartBody>
        <w:p w:rsidR="009A3CA5" w:rsidRDefault="006D3F92" w:rsidP="006D3F92">
          <w:pPr>
            <w:pStyle w:val="43CF29CA79F846C88BB61BFDD9999C4B"/>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B4"/>
    <w:rsid w:val="006D3F92"/>
    <w:rsid w:val="008631D0"/>
    <w:rsid w:val="008C43B4"/>
    <w:rsid w:val="009A3C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3F92"/>
    <w:rPr>
      <w:color w:val="808080"/>
    </w:rPr>
  </w:style>
  <w:style w:type="paragraph" w:customStyle="1" w:styleId="E6D1EF7A9C4844C9A73C58B30C8A90EA">
    <w:name w:val="E6D1EF7A9C4844C9A73C58B30C8A90EA"/>
    <w:rsid w:val="008C43B4"/>
  </w:style>
  <w:style w:type="paragraph" w:customStyle="1" w:styleId="5FF6968E8A894D5DB94A84FF5213D992">
    <w:name w:val="5FF6968E8A894D5DB94A84FF5213D992"/>
    <w:rsid w:val="008C43B4"/>
  </w:style>
  <w:style w:type="paragraph" w:customStyle="1" w:styleId="43CF29CA79F846C88BB61BFDD9999C4B">
    <w:name w:val="43CF29CA79F846C88BB61BFDD9999C4B"/>
    <w:rsid w:val="006D3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lbT1snmD27hnQ7rWp+Wt6RtiGqQ6eyaRA/4GodoUeGY=</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vqe35YR8RijKAR9EX8nrS/VgD+Wjg+OWH8CgskpQIAo=</DigestValue>
    </Reference>
  </SignedInfo>
  <SignatureValue>C57BbtFLvPRfDI/vJzD+of4EUVwiPjP3X3yzVzLhKfE3iwOeE7voyytKZhphuPrHAiTjD+iIVUOK
hVgCyUX7J6GdaN/gDZIklEVUgFADskGZMOnOQHyv951X4pVpu+INq5C4NBoVQBv4cIaNDjU4Qe5D
VSIHI700px3DURnps43fYgjM82xK52n7TL9UX1s1J8YsqdTmDbYIyZnqXRb6xCuMgg96M8eiUupf
K45C1OBlBJGl82hARJjleFAgUHjaQtu0vwXPNr49yx/9MZZXelnVunJiNWnNBu+WnT/bl5HiUpUX
e4Wb9aWium8gJc0OZEQ7vQ+hxZtL1ksy0ZKFjA==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Transform>
          <Transform Algorithm="http://www.w3.org/TR/2001/REC-xml-c14n-20010315"/>
        </Transforms>
        <DigestMethod Algorithm="http://www.w3.org/2001/04/xmlenc#sha256"/>
        <DigestValue>31oUo3rftRXjKe7zHD/bXMbRR6isLi26hn8qoybBd/M=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+Okea2x8NkYBfBi+xEdEBBXWtIhnT89pXO+DFoxHtqM=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vt+phaid58hquZGiEWNjycIFiBSY3BK4sIpoBntnL+8=</DigestValue>
      </Reference>
      <Reference URI="/word/embeddings/Microsoft_Word_Document.docx?ContentType=application/vnd.openxmlformats-officedocument.wordprocessingml.document">
        <DigestMethod Algorithm="http://www.w3.org/2001/04/xmlenc#sha256"/>
        <DigestValue>WaUStwkLQLQhoSv/6D2pHW2ypagtN5zra5aLJWDBk9w=</DigestValue>
      </Reference>
      <Reference URI="/word/embeddings/Microsoft_Word_Document1.docx?ContentType=application/vnd.openxmlformats-officedocument.wordprocessingml.document">
        <DigestMethod Algorithm="http://www.w3.org/2001/04/xmlenc#sha256"/>
        <DigestValue>iiAnF0Khk9tjTFU5/Y2odbi6bE+2sNue7SGEdzFte08=</DigestValue>
      </Reference>
      <Reference URI="/word/embeddings/Microsoft_Word_Document2.docx?ContentType=application/vnd.openxmlformats-officedocument.wordprocessingml.document">
        <DigestMethod Algorithm="http://www.w3.org/2001/04/xmlenc#sha256"/>
        <DigestValue>ap9MpdCt9sZ2LZeoSi2E8A1tZMNy2B60Hx6gdwR3pfQ=</DigestValue>
      </Reference>
      <Reference URI="/word/embeddings/oleObject1.bin?ContentType=application/vnd.openxmlformats-officedocument.oleObject">
        <DigestMethod Algorithm="http://www.w3.org/2001/04/xmlenc#sha256"/>
        <DigestValue>fZi9XCSWaAymI5s3J2Xs1/bBLds7lXBA1N4MkoYkqtM=</DigestValue>
      </Reference>
      <Reference URI="/word/embeddings/oleObject2.bin?ContentType=application/vnd.openxmlformats-officedocument.oleObject">
        <DigestMethod Algorithm="http://www.w3.org/2001/04/xmlenc#sha256"/>
        <DigestValue>cvEgl0+m01mQNbYLI4NfBoqFYbYpFk2WmKeN9VV5dCQ=</DigestValue>
      </Reference>
      <Reference URI="/word/embeddings/oleObject3.bin?ContentType=application/vnd.openxmlformats-officedocument.oleObject">
        <DigestMethod Algorithm="http://www.w3.org/2001/04/xmlenc#sha256"/>
        <DigestValue>/BiNw4ete3d7wbt2wzJRsYX0ShLM6axdi+ghpz1s3Q0=</DigestValue>
      </Reference>
      <Reference URI="/word/embeddings/oleObject4.bin?ContentType=application/vnd.openxmlformats-officedocument.oleObject">
        <DigestMethod Algorithm="http://www.w3.org/2001/04/xmlenc#sha256"/>
        <DigestValue>Xkc3Rcww2p7gS+PcMtsRP9Jvxn94KnaKw8gDyZTHuWI=</DigestValue>
      </Reference>
      <Reference URI="/word/embeddings/oleObject5.bin?ContentType=application/vnd.openxmlformats-officedocument.oleObject">
        <DigestMethod Algorithm="http://www.w3.org/2001/04/xmlenc#sha256"/>
        <DigestValue>0d0eqXfvBvr1aa7ppRBJ2N2EDmONUDXfe5fQZg0yS4Y=</DigestValue>
      </Reference>
      <Reference URI="/word/embeddings/oleObject6.bin?ContentType=application/vnd.openxmlformats-officedocument.oleObject">
        <DigestMethod Algorithm="http://www.w3.org/2001/04/xmlenc#sha256"/>
        <DigestValue>KizpHc/Brr6l/WFXk5xxSmxfvhbnaTNf72z9IpFAMSY=</DigestValue>
      </Reference>
      <Reference URI="/word/endnotes.xml?ContentType=application/vnd.openxmlformats-officedocument.wordprocessingml.endnotes+xml">
        <DigestMethod Algorithm="http://www.w3.org/2001/04/xmlenc#sha256"/>
        <DigestValue>L0bag4iLPnUbhg3CY+TOFOyl3Ow7lLRMUmZtNHpuv6I=</DigestValue>
      </Reference>
      <Reference URI="/word/fontTable.xml?ContentType=application/vnd.openxmlformats-officedocument.wordprocessingml.fontTable+xml">
        <DigestMethod Algorithm="http://www.w3.org/2001/04/xmlenc#sha256"/>
        <DigestValue>LRmwCaX/7uWTvxLxK/f4elq2uENWgUhBWFuaM5kB1YU=</DigestValue>
      </Reference>
      <Reference URI="/word/footer1.xml?ContentType=application/vnd.openxmlformats-officedocument.wordprocessingml.footer+xml">
        <DigestMethod Algorithm="http://www.w3.org/2001/04/xmlenc#sha256"/>
        <DigestValue>m4XsoXoVzLQjrONpxKzgt5myTSaRacBeGUKUjIY1g50=</DigestValue>
      </Reference>
      <Reference URI="/word/footer2.xml?ContentType=application/vnd.openxmlformats-officedocument.wordprocessingml.footer+xml">
        <DigestMethod Algorithm="http://www.w3.org/2001/04/xmlenc#sha256"/>
        <DigestValue>477WoX/BZz+eWJZG4LiTotO1wtc9t7lZfVE3HnsWMbA=</DigestValue>
      </Reference>
      <Reference URI="/word/footer3.xml?ContentType=application/vnd.openxmlformats-officedocument.wordprocessingml.footer+xml">
        <DigestMethod Algorithm="http://www.w3.org/2001/04/xmlenc#sha256"/>
        <DigestValue>vVa5IB6t1gDsE5qrmLGAQe7NyWxXsDAInNREEt6/zBs=</DigestValue>
      </Reference>
      <Reference URI="/word/footnotes.xml?ContentType=application/vnd.openxmlformats-officedocument.wordprocessingml.footnotes+xml">
        <DigestMethod Algorithm="http://www.w3.org/2001/04/xmlenc#sha256"/>
        <DigestValue>KX4ipZnnWoiCyXx2dz2FFjsmObTsLbrFQoQgJWHH+Zc=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dQGEDCOqjvAGnmk1iVu0mPtYRjLCW9OkT/gqj2CHB/8=</DigestValue>
      </Reference>
      <Reference URI="/word/glossary/fontTable.xml?ContentType=application/vnd.openxmlformats-officedocument.wordprocessingml.fontTable+xml">
        <DigestMethod Algorithm="http://www.w3.org/2001/04/xmlenc#sha256"/>
        <DigestValue>LRmwCaX/7uWTvxLxK/f4elq2uENWgUhBWFuaM5kB1YU=</DigestValue>
      </Reference>
      <Reference URI="/word/glossary/settings.xml?ContentType=application/vnd.openxmlformats-officedocument.wordprocessingml.settings+xml">
        <DigestMethod Algorithm="http://www.w3.org/2001/04/xmlenc#sha256"/>
        <DigestValue>cu+oOOI9r4DKB9DKWI8gTOZ8ZBSgc6HwTxl94FpbH/8=</DigestValue>
      </Reference>
      <Reference URI="/word/glossary/styles.xml?ContentType=application/vnd.openxmlformats-officedocument.wordprocessingml.styles+xml">
        <DigestMethod Algorithm="http://www.w3.org/2001/04/xmlenc#sha256"/>
        <DigestValue>WkdhPxzfCgkFQwmf7ZaUYeq+scCA6OXaRcUDPJMbjHE=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85aQO0cTgzVPNZlCKHmWTu8FXe4PuZWbTaJO9vitb24=</DigestValue>
      </Reference>
      <Reference URI="/word/header2.xml?ContentType=application/vnd.openxmlformats-officedocument.wordprocessingml.header+xml">
        <DigestMethod Algorithm="http://www.w3.org/2001/04/xmlenc#sha256"/>
        <DigestValue>xalf9m9r+ojeSLUgF0NKMVmWmGtzP8jUEYUc8OPiQcs=</DigestValue>
      </Reference>
      <Reference URI="/word/header3.xml?ContentType=application/vnd.openxmlformats-officedocument.wordprocessingml.header+xml">
        <DigestMethod Algorithm="http://www.w3.org/2001/04/xmlenc#sha256"/>
        <DigestValue>n0ZeFUninXgZ7fHsCzVmiBH6jmLizcq1KKTkUeCKCh8=</DigestValue>
      </Reference>
      <Reference URI="/word/media/image1.jpeg?ContentType=image/jpeg">
        <DigestMethod Algorithm="http://www.w3.org/2001/04/xmlenc#sha256"/>
        <DigestValue>xyj69l3DW8glKu5smMXAwtOjzbX6e4vINW9rhAbhtrc=</DigestValue>
      </Reference>
      <Reference URI="/word/media/image10.emf?ContentType=image/x-emf">
        <DigestMethod Algorithm="http://www.w3.org/2001/04/xmlenc#sha256"/>
        <DigestValue>KYyiiwd1Bzo9C7KlhDjlxeqLzLXvocJ7X3m7hK9Eeco=</DigestValue>
      </Reference>
      <Reference URI="/word/media/image11.png?ContentType=image/png">
        <DigestMethod Algorithm="http://www.w3.org/2001/04/xmlenc#sha256"/>
        <DigestValue>qpOpLv7+AIBBXGXobYzZUmN/7IR83yO/J/JVrvtB94I=</DigestValue>
      </Reference>
      <Reference URI="/word/media/image2.emf?ContentType=image/x-emf">
        <DigestMethod Algorithm="http://www.w3.org/2001/04/xmlenc#sha256"/>
        <DigestValue>xruGuoS0TxQw4zlprwVzCYNz54Oxvps+WyFExTX/8EM=</DigestValue>
      </Reference>
      <Reference URI="/word/media/image3.emf?ContentType=image/x-emf">
        <DigestMethod Algorithm="http://www.w3.org/2001/04/xmlenc#sha256"/>
        <DigestValue>8FgFntlntUiqVMFqKrRG6rJ19CIg0usDQpap2yKn5yI=</DigestValue>
      </Reference>
      <Reference URI="/word/media/image4.emf?ContentType=image/x-emf">
        <DigestMethod Algorithm="http://www.w3.org/2001/04/xmlenc#sha256"/>
        <DigestValue>rvsQ/xoag+72QvBsHQ72SU+vAIHn9ShoILwY7igkdEw=</DigestValue>
      </Reference>
      <Reference URI="/word/media/image5.emf?ContentType=image/x-emf">
        <DigestMethod Algorithm="http://www.w3.org/2001/04/xmlenc#sha256"/>
        <DigestValue>SbpcO8iwfj/8z76qw6jk3IJ1GvloqUM3BW8DEeKC3CQ=</DigestValue>
      </Reference>
      <Reference URI="/word/media/image6.emf?ContentType=image/x-emf">
        <DigestMethod Algorithm="http://www.w3.org/2001/04/xmlenc#sha256"/>
        <DigestValue>9EIHo0QlMNJ+gAXhLd3/cigAFpmT8BNoJOW/SxVCBvQ=</DigestValue>
      </Reference>
      <Reference URI="/word/media/image7.emf?ContentType=image/x-emf">
        <DigestMethod Algorithm="http://www.w3.org/2001/04/xmlenc#sha256"/>
        <DigestValue>+TVZ0y5to0wb+nKA+84niyovz7d/BMhX3GrEExNI4cc=</DigestValue>
      </Reference>
      <Reference URI="/word/media/image8.emf?ContentType=image/x-emf">
        <DigestMethod Algorithm="http://www.w3.org/2001/04/xmlenc#sha256"/>
        <DigestValue>8KPQ1CIS/VdB+JqKIb/i7DLjFjs05jHY0w6LfTF7PaM=</DigestValue>
      </Reference>
      <Reference URI="/word/media/image9.emf?ContentType=image/x-emf">
        <DigestMethod Algorithm="http://www.w3.org/2001/04/xmlenc#sha256"/>
        <DigestValue>hulKtR4gp4SXMMZaOXlEZmGU9fA01xP4FKniIZNbGWg=</DigestValue>
      </Reference>
      <Reference URI="/word/numbering.xml?ContentType=application/vnd.openxmlformats-officedocument.wordprocessingml.numbering+xml">
        <DigestMethod Algorithm="http://www.w3.org/2001/04/xmlenc#sha256"/>
        <DigestValue>zJ8YtaFx1eEa5FKHrl/ze37FtZX579wlOpz8Bnoa/Lg=</DigestValue>
      </Reference>
      <Reference URI="/word/settings.xml?ContentType=application/vnd.openxmlformats-officedocument.wordprocessingml.settings+xml">
        <DigestMethod Algorithm="http://www.w3.org/2001/04/xmlenc#sha256"/>
        <DigestValue>paQ0CD24ALGOopJv8n4+3VHjZYrrzxEDOhyYLBU6PH4=</DigestValue>
      </Reference>
      <Reference URI="/word/styles.xml?ContentType=application/vnd.openxmlformats-officedocument.wordprocessingml.styles+xml">
        <DigestMethod Algorithm="http://www.w3.org/2001/04/xmlenc#sha256"/>
        <DigestValue>9e/im6wWCU2AaHfM2A3JFdcjn6yhL/cgjihSfwW/+MY=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jehQ1IBzoXsIlfm3UWZb4AZODHkC5j85pZTDpXZMA8Q=</DigestValue>
      </Reference>
    </Manifest>
    <SignatureProperties>
      <SignatureProperty Id="idSignatureTime" Target="#idPackageSignature">
        <mdssi:SignatureTime xmlns:mdssi="http://schemas.openxmlformats.org/package/2006/digital-signature">
          <mdssi:Format>YYYY-MM-DDThh:mm:ssTZD</mdssi:Format>
          <mdssi:Value>2023-06-05T17:10:11Z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2023-06-05T17:10:11Z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wGmvE4mal+G+klG+6AL7139gHB7h4KrD82pxPb0S7gCBBSGZr8YDzIwMjMwNjA1MTcxMD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kbJTUwNce6Y6Et/XsDN7U4GqXrA=</xd:ByKey>
                  </xd:ResponderID>
                  <xd:ProducedAt>2023-06-05T17:08:20Z</xd:ProducedAt>
                </xd:OCSPIdentifier>
                <xd:DigestAlgAndValue>
                  <DigestMethod Algorithm="http://www.w3.org/2001/04/xmlenc#sha256"/>
                  <DigestValue>gxz4ZykWjE2+Ab/jeBdZM7OUyDkK6G7RLdmq2lFLYwQ=</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</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DwmSQIEk5QhLzoz/+zWQg1V/NguklkIZCsqfnu0OcCBBSGZsAYDzIwMjMwNjA1MTcxMD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Comunicación de Modificaciones Realizadas al Reporte del CIC y al Archivo Descargable conforme a lo señalado en las  Resoluciones SGF-2660-2022  / SGF-2674-2022 y SGF-2675-2022
cc: SALIENTE INFORMACIÓN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2023-05-24T06:00:00+00:00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MODIFICACIONES REPORTE DEL CIC Y ARCHIVO DESCARGABLE</Subject1>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217" ma:contentTypeDescription="Crear nuevo documento." ma:contentTypeScope="" ma:versionID="7a7bc1825d06493c3137c770f4e117f7">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d43e776d90aaf11edb8386e8a982c106"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5892C-0DDC-4530-A0B2-0C0870CF21B0}"/>
</file>

<file path=customXml/itemProps2.xml><?xml version="1.0" encoding="utf-8"?>
<ds:datastoreItem xmlns:ds="http://schemas.openxmlformats.org/officeDocument/2006/customXml" ds:itemID="{068C5E37-641F-4ADA-A5AD-E52456C0FFAB}"/>
</file>

<file path=customXml/itemProps3.xml><?xml version="1.0" encoding="utf-8"?>
<ds:datastoreItem xmlns:ds="http://schemas.openxmlformats.org/officeDocument/2006/customXml" ds:itemID="{36F28922-F1E9-4646-A29B-266596F4BE8C}"/>
</file>

<file path=customXml/itemProps4.xml><?xml version="1.0" encoding="utf-8"?>
<ds:datastoreItem xmlns:ds="http://schemas.openxmlformats.org/officeDocument/2006/customXml" ds:itemID="{ED77C247-B7C7-4138-803B-8C5E2F0C29F0}"/>
</file>

<file path=customXml/itemProps5.xml><?xml version="1.0" encoding="utf-8"?>
<ds:datastoreItem xmlns:ds="http://schemas.openxmlformats.org/officeDocument/2006/customXml" ds:itemID="{FF26D24B-D423-417B-BD49-4794DC846F31}"/>
</file>

<file path=customXml/itemProps6.xml><?xml version="1.0" encoding="utf-8"?>
<ds:datastoreItem xmlns:ds="http://schemas.openxmlformats.org/officeDocument/2006/customXml" ds:itemID="{98A6FD89-70F2-4A2D-9EFA-8884D61EA7DF}"/>
</file>

<file path=docProps/app.xml><?xml version="1.0" encoding="utf-8"?>
<Properties xmlns="http://schemas.openxmlformats.org/officeDocument/2006/extended-properties" xmlns:vt="http://schemas.openxmlformats.org/officeDocument/2006/docPropsVTypes">
  <Template>plantilla-SGF-DST-22</Template>
  <TotalTime>162</TotalTime>
  <Pages>3</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VARGAS LEAL MARIA GABRIELA</cp:lastModifiedBy>
  <cp:revision>10</cp:revision>
  <dcterms:created xsi:type="dcterms:W3CDTF">2023-05-24T14:34:00Z</dcterms:created>
  <dcterms:modified xsi:type="dcterms:W3CDTF">2023-06-02T22:26:00Z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663100</vt:r8>
  </property>
  <property fmtid="{D5CDD505-2E9C-101B-9397-08002B2CF9AE}" pid="22" name="WorkflowChangePath">
    <vt:lpwstr>cc55394b-b6b0-4251-9173-411de0fbc825,7;1f52f4ee-b677-4147-ab77-655bd266ef31,11;</vt:lpwstr>
  </property>
</Properties>
</file>